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542" w:rsidRDefault="00EB0542" w:rsidP="004F724A">
      <w:pPr>
        <w:jc w:val="center"/>
        <w:rPr>
          <w:rFonts w:ascii="Verdana" w:hAnsi="Verdana" w:cs="Times New Roman"/>
          <w:sz w:val="24"/>
          <w:szCs w:val="24"/>
        </w:rPr>
      </w:pPr>
    </w:p>
    <w:p w:rsidR="004D2239" w:rsidRDefault="004D2239" w:rsidP="004F724A">
      <w:pPr>
        <w:jc w:val="center"/>
        <w:rPr>
          <w:rFonts w:ascii="Verdana" w:hAnsi="Verdana" w:cs="Times New Roman"/>
          <w:sz w:val="24"/>
          <w:szCs w:val="24"/>
        </w:rPr>
      </w:pPr>
    </w:p>
    <w:p w:rsidR="00377479" w:rsidRDefault="00377479" w:rsidP="0094735E">
      <w:pPr>
        <w:rPr>
          <w:rFonts w:ascii="Verdana" w:hAnsi="Verdana" w:cs="Times New Roman"/>
          <w:sz w:val="24"/>
          <w:szCs w:val="24"/>
        </w:rPr>
      </w:pPr>
    </w:p>
    <w:p w:rsidR="00377479" w:rsidRPr="00E4412C" w:rsidRDefault="00377479" w:rsidP="004F724A">
      <w:pPr>
        <w:jc w:val="center"/>
        <w:rPr>
          <w:rFonts w:ascii="Verdana" w:hAnsi="Verdana" w:cs="Times New Roman"/>
        </w:rPr>
      </w:pPr>
    </w:p>
    <w:p w:rsidR="00984674" w:rsidRPr="00E4412C" w:rsidRDefault="00096ED6" w:rsidP="004F724A">
      <w:pPr>
        <w:jc w:val="center"/>
        <w:rPr>
          <w:rFonts w:ascii="Verdana" w:hAnsi="Verdana" w:cs="Times New Roman"/>
        </w:rPr>
      </w:pPr>
      <w:r w:rsidRPr="00E4412C">
        <w:rPr>
          <w:rFonts w:ascii="Verdana" w:hAnsi="Verdana" w:cs="Times New Roman"/>
        </w:rPr>
        <w:t>BEFORE THE HEARING EXAMINER</w:t>
      </w:r>
    </w:p>
    <w:p w:rsidR="00AC1DC4" w:rsidRPr="00E4412C" w:rsidRDefault="00AC1DC4" w:rsidP="00AC1DC4">
      <w:pPr>
        <w:jc w:val="center"/>
        <w:rPr>
          <w:rFonts w:ascii="Verdana" w:hAnsi="Verdana" w:cs="Times New Roman"/>
        </w:rPr>
      </w:pPr>
      <w:r w:rsidRPr="00E4412C">
        <w:rPr>
          <w:rFonts w:ascii="Verdana" w:hAnsi="Verdana" w:cs="Times New Roman"/>
        </w:rPr>
        <w:t>CITY OF SEATTLE</w:t>
      </w:r>
    </w:p>
    <w:p w:rsidR="00AC1DC4" w:rsidRDefault="00AC1DC4" w:rsidP="00AC1DC4">
      <w:pPr>
        <w:jc w:val="center"/>
        <w:rPr>
          <w:rFonts w:ascii="Verdana" w:hAnsi="Verdana" w:cs="Times New Roman"/>
        </w:rPr>
      </w:pPr>
    </w:p>
    <w:p w:rsidR="004D2239" w:rsidRDefault="004D2239" w:rsidP="00AC1DC4">
      <w:pPr>
        <w:jc w:val="center"/>
        <w:rPr>
          <w:rFonts w:ascii="Verdana" w:hAnsi="Verdana" w:cs="Times New Roman"/>
        </w:rPr>
      </w:pPr>
    </w:p>
    <w:p w:rsidR="004D2239" w:rsidRDefault="004D2239" w:rsidP="00AC1DC4">
      <w:pPr>
        <w:jc w:val="center"/>
        <w:rPr>
          <w:rFonts w:ascii="Verdana" w:hAnsi="Verdana" w:cs="Times New Roman"/>
        </w:rPr>
      </w:pPr>
    </w:p>
    <w:p w:rsidR="004D2239" w:rsidRPr="00E4412C" w:rsidRDefault="004D2239" w:rsidP="00AC1DC4">
      <w:pPr>
        <w:jc w:val="center"/>
        <w:rPr>
          <w:rFonts w:ascii="Verdana" w:hAnsi="Verdana" w:cs="Times New Roman"/>
        </w:rPr>
      </w:pPr>
    </w:p>
    <w:p w:rsidR="004D2239" w:rsidRDefault="004D2239" w:rsidP="00DF2219">
      <w:pPr>
        <w:rPr>
          <w:rFonts w:ascii="Verdana" w:hAnsi="Verdana" w:cs="Times New Roman"/>
        </w:rPr>
      </w:pPr>
    </w:p>
    <w:p w:rsidR="004D2239" w:rsidRDefault="004D2239" w:rsidP="00DF2219">
      <w:pPr>
        <w:rPr>
          <w:rFonts w:ascii="Verdana" w:hAnsi="Verdana" w:cs="Times New Roman"/>
        </w:rPr>
      </w:pPr>
    </w:p>
    <w:p w:rsidR="00DF2219" w:rsidRPr="00E4412C" w:rsidRDefault="00AC1DC4" w:rsidP="00DF2219">
      <w:pPr>
        <w:rPr>
          <w:rFonts w:ascii="Verdana" w:hAnsi="Verdana" w:cs="Times New Roman"/>
        </w:rPr>
      </w:pPr>
      <w:r w:rsidRPr="00E4412C">
        <w:rPr>
          <w:rFonts w:ascii="Verdana" w:hAnsi="Verdana" w:cs="Times New Roman"/>
        </w:rPr>
        <w:t>In the mat</w:t>
      </w:r>
      <w:r w:rsidR="007537B6" w:rsidRPr="00E4412C">
        <w:rPr>
          <w:rFonts w:ascii="Verdana" w:hAnsi="Verdana" w:cs="Times New Roman"/>
        </w:rPr>
        <w:t xml:space="preserve">ter of the Appeal of:          </w:t>
      </w:r>
      <w:r w:rsidRPr="00E4412C">
        <w:rPr>
          <w:rFonts w:ascii="Verdana" w:hAnsi="Verdana" w:cs="Times New Roman"/>
        </w:rPr>
        <w:t>C F 311936</w:t>
      </w:r>
      <w:r w:rsidR="00DF2219" w:rsidRPr="00E4412C">
        <w:rPr>
          <w:rFonts w:ascii="Verdana" w:hAnsi="Verdana" w:cs="Times New Roman"/>
        </w:rPr>
        <w:t xml:space="preserve">                        </w:t>
      </w:r>
    </w:p>
    <w:p w:rsidR="00AC1DC4" w:rsidRPr="00E4412C" w:rsidRDefault="00AC1DC4" w:rsidP="00DF2219">
      <w:pPr>
        <w:rPr>
          <w:rFonts w:ascii="Verdana" w:hAnsi="Verdana" w:cs="Times New Roman"/>
        </w:rPr>
      </w:pPr>
      <w:r w:rsidRPr="00E4412C">
        <w:rPr>
          <w:rFonts w:ascii="Verdana" w:hAnsi="Verdana" w:cs="Times New Roman"/>
          <w:i/>
        </w:rPr>
        <w:t>Washington Community Action</w:t>
      </w:r>
      <w:r w:rsidRPr="00E4412C">
        <w:rPr>
          <w:rFonts w:ascii="Verdana" w:hAnsi="Verdana" w:cs="Times New Roman"/>
        </w:rPr>
        <w:t xml:space="preserve">          </w:t>
      </w:r>
      <w:r w:rsidR="00096ED6" w:rsidRPr="00E4412C">
        <w:rPr>
          <w:rFonts w:ascii="Verdana" w:hAnsi="Verdana" w:cs="Times New Roman"/>
        </w:rPr>
        <w:t>DPD Project No 3012953</w:t>
      </w:r>
    </w:p>
    <w:p w:rsidR="00AC1DC4" w:rsidRPr="00E4412C" w:rsidRDefault="00AC1DC4" w:rsidP="00AC1DC4">
      <w:pPr>
        <w:contextualSpacing/>
        <w:rPr>
          <w:rFonts w:ascii="Verdana" w:hAnsi="Verdana" w:cs="Times New Roman"/>
        </w:rPr>
      </w:pPr>
      <w:r w:rsidRPr="00E4412C">
        <w:rPr>
          <w:rFonts w:ascii="Verdana" w:hAnsi="Verdana" w:cs="Times New Roman"/>
          <w:i/>
        </w:rPr>
        <w:t>Network, et al.</w:t>
      </w:r>
    </w:p>
    <w:p w:rsidR="00AC1DC4" w:rsidRPr="00E4412C" w:rsidRDefault="00AC1DC4" w:rsidP="00AC1DC4">
      <w:pPr>
        <w:contextualSpacing/>
        <w:rPr>
          <w:rFonts w:ascii="Verdana" w:hAnsi="Verdana" w:cs="Times New Roman"/>
        </w:rPr>
      </w:pPr>
    </w:p>
    <w:p w:rsidR="00AC1DC4" w:rsidRPr="00E4412C" w:rsidRDefault="00AC1DC4" w:rsidP="00AC1DC4">
      <w:pPr>
        <w:contextualSpacing/>
        <w:rPr>
          <w:rFonts w:ascii="Verdana" w:hAnsi="Verdana" w:cs="Times New Roman"/>
          <w:b/>
        </w:rPr>
      </w:pPr>
      <w:r w:rsidRPr="00E4412C">
        <w:rPr>
          <w:rFonts w:ascii="Verdana" w:hAnsi="Verdana" w:cs="Times New Roman"/>
        </w:rPr>
        <w:t xml:space="preserve">                 </w:t>
      </w:r>
      <w:r w:rsidR="00EB0542">
        <w:rPr>
          <w:rFonts w:ascii="Verdana" w:hAnsi="Verdana" w:cs="Times New Roman"/>
        </w:rPr>
        <w:t xml:space="preserve">                                </w:t>
      </w:r>
      <w:r w:rsidRPr="00E4412C">
        <w:rPr>
          <w:rFonts w:ascii="Verdana" w:hAnsi="Verdana" w:cs="Times New Roman"/>
          <w:b/>
        </w:rPr>
        <w:t xml:space="preserve">Squire Park Community  </w:t>
      </w:r>
      <w:r w:rsidR="00EB0542">
        <w:rPr>
          <w:rFonts w:ascii="Verdana" w:hAnsi="Verdana" w:cs="Times New Roman"/>
          <w:b/>
        </w:rPr>
        <w:t>Council’s</w:t>
      </w:r>
      <w:r w:rsidRPr="00E4412C">
        <w:rPr>
          <w:rFonts w:ascii="Verdana" w:hAnsi="Verdana" w:cs="Times New Roman"/>
          <w:b/>
        </w:rPr>
        <w:t xml:space="preserve">                                              </w:t>
      </w:r>
    </w:p>
    <w:p w:rsidR="00AC1DC4" w:rsidRDefault="00AC1DC4" w:rsidP="00AC1DC4">
      <w:pPr>
        <w:contextualSpacing/>
        <w:rPr>
          <w:rFonts w:ascii="Verdana" w:hAnsi="Verdana" w:cs="Times New Roman"/>
          <w:b/>
        </w:rPr>
      </w:pPr>
      <w:r w:rsidRPr="00E4412C">
        <w:rPr>
          <w:rFonts w:ascii="Verdana" w:hAnsi="Verdana" w:cs="Times New Roman"/>
          <w:b/>
        </w:rPr>
        <w:t xml:space="preserve">                   </w:t>
      </w:r>
      <w:r w:rsidR="007537B6" w:rsidRPr="00E4412C">
        <w:rPr>
          <w:rFonts w:ascii="Verdana" w:hAnsi="Verdana" w:cs="Times New Roman"/>
          <w:b/>
        </w:rPr>
        <w:t xml:space="preserve">         </w:t>
      </w:r>
      <w:r w:rsidR="00EB0542">
        <w:rPr>
          <w:rFonts w:ascii="Verdana" w:hAnsi="Verdana" w:cs="Times New Roman"/>
          <w:b/>
        </w:rPr>
        <w:t xml:space="preserve">                      Reply to Respondents’ Joint Response                                       </w:t>
      </w:r>
    </w:p>
    <w:p w:rsidR="00EB0542" w:rsidRDefault="00EB0542" w:rsidP="00AC1DC4">
      <w:pPr>
        <w:contextualSpacing/>
        <w:rPr>
          <w:rFonts w:ascii="Verdana" w:hAnsi="Verdana" w:cs="Times New Roman"/>
          <w:b/>
        </w:rPr>
      </w:pPr>
    </w:p>
    <w:p w:rsidR="00EB0542" w:rsidRPr="00EB0542" w:rsidRDefault="00EB0542" w:rsidP="00EB0542">
      <w:pPr>
        <w:contextualSpacing/>
        <w:rPr>
          <w:rFonts w:ascii="Verdana" w:hAnsi="Verdana" w:cs="Times New Roman"/>
          <w:b/>
        </w:rPr>
      </w:pPr>
    </w:p>
    <w:p w:rsidR="00EB0542" w:rsidRDefault="00EB0542" w:rsidP="00EB0542">
      <w:pPr>
        <w:contextualSpacing/>
        <w:rPr>
          <w:rFonts w:ascii="Verdana" w:hAnsi="Verdana" w:cs="Times New Roman"/>
          <w:b/>
        </w:rPr>
      </w:pPr>
    </w:p>
    <w:p w:rsidR="004D2239" w:rsidRDefault="004D2239" w:rsidP="00EB0542">
      <w:pPr>
        <w:contextualSpacing/>
        <w:rPr>
          <w:rFonts w:ascii="Verdana" w:hAnsi="Verdana" w:cs="Times New Roman"/>
          <w:b/>
        </w:rPr>
      </w:pPr>
    </w:p>
    <w:p w:rsidR="004D2239" w:rsidRPr="00EB0542" w:rsidRDefault="004D2239" w:rsidP="00EB0542">
      <w:pPr>
        <w:contextualSpacing/>
        <w:rPr>
          <w:rFonts w:ascii="Verdana" w:hAnsi="Verdana" w:cs="Times New Roman"/>
          <w:b/>
        </w:rPr>
      </w:pPr>
    </w:p>
    <w:p w:rsidR="004D2239" w:rsidRDefault="004D2239" w:rsidP="00EB0542">
      <w:pPr>
        <w:contextualSpacing/>
        <w:rPr>
          <w:rFonts w:ascii="Verdana" w:hAnsi="Verdana" w:cs="Times New Roman"/>
          <w:b/>
          <w:u w:val="single"/>
        </w:rPr>
      </w:pPr>
    </w:p>
    <w:p w:rsidR="00EB0542" w:rsidRDefault="00EB0542" w:rsidP="00EB0542">
      <w:pPr>
        <w:contextualSpacing/>
        <w:rPr>
          <w:rFonts w:ascii="Verdana" w:hAnsi="Verdana" w:cs="Times New Roman"/>
          <w:b/>
          <w:u w:val="single"/>
        </w:rPr>
      </w:pPr>
      <w:r>
        <w:rPr>
          <w:rFonts w:ascii="Verdana" w:hAnsi="Verdana" w:cs="Times New Roman"/>
          <w:b/>
          <w:u w:val="single"/>
        </w:rPr>
        <w:t>Introduction</w:t>
      </w:r>
    </w:p>
    <w:p w:rsidR="004D2239" w:rsidRPr="00EB0542" w:rsidRDefault="004D2239" w:rsidP="00EB0542">
      <w:pPr>
        <w:contextualSpacing/>
        <w:rPr>
          <w:rFonts w:ascii="Verdana" w:hAnsi="Verdana" w:cs="Times New Roman"/>
          <w:b/>
          <w:u w:val="single"/>
        </w:rPr>
      </w:pP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The Respondents’ Joint Response Brief asserts that the Environmental Impact Statement in this matter is “adequate in all respects.”  </w:t>
      </w:r>
    </w:p>
    <w:p w:rsidR="00DC7FBF" w:rsidRPr="00EB0542" w:rsidRDefault="00DC7FBF"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The position of Providence-Swedish and Sabey seems to be this:  More than ten years ago, Swedish, having determined it had too much real estate at its Cherry Hill campus and, in a decision characterized by Swedish administration as “right-sizing”, sold approximately half of its campus to the Sabey Corporation.  Sabey had in mind the development of a biotech research center.  That didn’t work out.  Eventually Sabey did manage to attract some uses to the site that were medical </w:t>
      </w:r>
      <w:r w:rsidRPr="00EB0542">
        <w:rPr>
          <w:rFonts w:ascii="Verdana" w:hAnsi="Verdana" w:cs="Times New Roman"/>
        </w:rPr>
        <w:lastRenderedPageBreak/>
        <w:t>related.  Most notable today, for the amount of space they occupy</w:t>
      </w:r>
      <w:r w:rsidR="00DC7FBF">
        <w:rPr>
          <w:rFonts w:ascii="Verdana" w:hAnsi="Verdana" w:cs="Times New Roman"/>
        </w:rPr>
        <w:t>,</w:t>
      </w:r>
      <w:r w:rsidRPr="00EB0542">
        <w:rPr>
          <w:rFonts w:ascii="Verdana" w:hAnsi="Verdana" w:cs="Times New Roman"/>
        </w:rPr>
        <w:t xml:space="preserve"> are the Northwest Kidney Center and LabCorp a regional laboratory testing service.</w:t>
      </w:r>
    </w:p>
    <w:p w:rsidR="00DC7FBF" w:rsidRPr="00EB0542" w:rsidRDefault="00DC7FBF"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Fast forward to the present.  Swedish has been acquired by Providence Health and Services.  The administration of that health care conglomerate, in a reversal of the Swedish plan of 2002, wants to expand, rather than contract. </w:t>
      </w:r>
    </w:p>
    <w:p w:rsidR="00DC7FBF" w:rsidRPr="00EB0542" w:rsidRDefault="00DC7FBF"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central feature of the Providence-Swedish expansion plans is the development of a world-class neuroscience research and treatment center.  Providence-Swedish wants this center to be at the Swedish Cherry Hill campus.  At the same time, Sabey wants to retain its tenants, including the Northwest Kidney Center and LabCorp, even though to do so requires Providence-</w:t>
      </w:r>
      <w:r>
        <w:rPr>
          <w:rFonts w:ascii="Verdana" w:hAnsi="Verdana" w:cs="Times New Roman"/>
        </w:rPr>
        <w:t xml:space="preserve">Swedish to forego using </w:t>
      </w:r>
      <w:r w:rsidRPr="00EB0542">
        <w:rPr>
          <w:rFonts w:ascii="Verdana" w:hAnsi="Verdana" w:cs="Times New Roman"/>
        </w:rPr>
        <w:t>valuable space within the MIO.  (</w:t>
      </w:r>
      <w:r w:rsidRPr="00EB0542">
        <w:rPr>
          <w:rFonts w:ascii="Verdana" w:hAnsi="Verdana" w:cs="Times New Roman"/>
          <w:i/>
        </w:rPr>
        <w:t>At the hearings in this matter, the Sabey Corporation asked to be recognized as a party.  It appears to be one of the entities making the proposal to be reviewed by the Environmental Impact Statement, although it is not identified or described in the EIS as required by SMC 25.05.440.</w:t>
      </w:r>
      <w:r w:rsidRPr="00EB0542">
        <w:rPr>
          <w:rFonts w:ascii="Verdana" w:hAnsi="Verdana" w:cs="Times New Roman"/>
        </w:rPr>
        <w:t>)</w:t>
      </w:r>
    </w:p>
    <w:p w:rsidR="00DC7FBF" w:rsidRPr="00EB0542" w:rsidRDefault="00DC7FBF" w:rsidP="00EB0542">
      <w:pPr>
        <w:contextualSpacing/>
        <w:rPr>
          <w:rFonts w:ascii="Verdana" w:hAnsi="Verdana" w:cs="Times New Roman"/>
        </w:rPr>
      </w:pPr>
    </w:p>
    <w:p w:rsidR="00EB0542" w:rsidRDefault="00DC7FBF" w:rsidP="00EB0542">
      <w:pPr>
        <w:contextualSpacing/>
        <w:rPr>
          <w:rFonts w:ascii="Verdana" w:hAnsi="Verdana" w:cs="Times New Roman"/>
        </w:rPr>
      </w:pPr>
      <w:r>
        <w:rPr>
          <w:rFonts w:ascii="Verdana" w:hAnsi="Verdana" w:cs="Times New Roman"/>
        </w:rPr>
        <w:t xml:space="preserve">Were the City Council to approve </w:t>
      </w:r>
      <w:r w:rsidR="00EB0542" w:rsidRPr="00EB0542">
        <w:rPr>
          <w:rFonts w:ascii="Verdana" w:hAnsi="Verdana" w:cs="Times New Roman"/>
        </w:rPr>
        <w:t>the proposed Master Plan, it would be sanctioning the developm</w:t>
      </w:r>
      <w:r>
        <w:rPr>
          <w:rFonts w:ascii="Verdana" w:hAnsi="Verdana" w:cs="Times New Roman"/>
        </w:rPr>
        <w:t xml:space="preserve">ent of a campus having </w:t>
      </w:r>
      <w:r w:rsidR="00EB0542" w:rsidRPr="00EB0542">
        <w:rPr>
          <w:rFonts w:ascii="Verdana" w:hAnsi="Verdana" w:cs="Times New Roman"/>
        </w:rPr>
        <w:t>2.</w:t>
      </w:r>
      <w:r>
        <w:rPr>
          <w:rFonts w:ascii="Verdana" w:hAnsi="Verdana" w:cs="Times New Roman"/>
        </w:rPr>
        <w:t>75 million gross SF and generating</w:t>
      </w:r>
      <w:r w:rsidR="00EB0542" w:rsidRPr="00EB0542">
        <w:rPr>
          <w:rFonts w:ascii="Verdana" w:hAnsi="Verdana" w:cs="Times New Roman"/>
        </w:rPr>
        <w:t xml:space="preserve"> approximately 11,000 average daily vehicle trips --- in a single-family and low rise residential zone.  According to</w:t>
      </w:r>
      <w:r>
        <w:rPr>
          <w:rFonts w:ascii="Verdana" w:hAnsi="Verdana" w:cs="Times New Roman"/>
        </w:rPr>
        <w:t xml:space="preserve"> the Respondents’ argument</w:t>
      </w:r>
      <w:r w:rsidR="00EB0542" w:rsidRPr="00EB0542">
        <w:rPr>
          <w:rFonts w:ascii="Verdana" w:hAnsi="Verdana" w:cs="Times New Roman"/>
        </w:rPr>
        <w:t xml:space="preserve">, the City Council may not evaluate, nor may the EIS analyze, whether or not there are alternatives other than the one proposed </w:t>
      </w:r>
      <w:r>
        <w:rPr>
          <w:rFonts w:ascii="Verdana" w:hAnsi="Verdana" w:cs="Times New Roman"/>
        </w:rPr>
        <w:t>by the applicants</w:t>
      </w:r>
      <w:r w:rsidR="00EB0542" w:rsidRPr="00EB0542">
        <w:rPr>
          <w:rFonts w:ascii="Verdana" w:hAnsi="Verdana" w:cs="Times New Roman"/>
        </w:rPr>
        <w:t xml:space="preserve">.  </w:t>
      </w:r>
      <w:r w:rsidR="00EB0542" w:rsidRPr="00EB0542">
        <w:rPr>
          <w:rFonts w:ascii="Verdana" w:hAnsi="Verdana" w:cs="Times New Roman"/>
          <w:i/>
        </w:rPr>
        <w:t>All</w:t>
      </w:r>
      <w:r w:rsidR="00EB0542" w:rsidRPr="00EB0542">
        <w:rPr>
          <w:rFonts w:ascii="Verdana" w:hAnsi="Verdana" w:cs="Times New Roman"/>
        </w:rPr>
        <w:t xml:space="preserve"> of the uses and functions that have been attracted by Sabey, and </w:t>
      </w:r>
      <w:r w:rsidR="00EB0542" w:rsidRPr="00EB0542">
        <w:rPr>
          <w:rFonts w:ascii="Verdana" w:hAnsi="Verdana" w:cs="Times New Roman"/>
          <w:i/>
        </w:rPr>
        <w:t>all</w:t>
      </w:r>
      <w:r w:rsidR="00EB0542" w:rsidRPr="00EB0542">
        <w:rPr>
          <w:rFonts w:ascii="Verdana" w:hAnsi="Verdana" w:cs="Times New Roman"/>
        </w:rPr>
        <w:t xml:space="preserve"> of the additional space proposed by Providence-Swedish must be approved in this one location, or the ability of Providence-Swedish to carry out its objectives will be defeated, say the Respondents.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appellant, Squire Park Community Council, is not opposed to a plan that w</w:t>
      </w:r>
      <w:r w:rsidR="00DC7FBF">
        <w:rPr>
          <w:rFonts w:ascii="Verdana" w:hAnsi="Verdana" w:cs="Times New Roman"/>
        </w:rPr>
        <w:t xml:space="preserve">ould </w:t>
      </w:r>
      <w:r w:rsidRPr="00EB0542">
        <w:rPr>
          <w:rFonts w:ascii="Verdana" w:hAnsi="Verdana" w:cs="Times New Roman"/>
        </w:rPr>
        <w:t>involve significant new development on the Cherry Hill campus.  However, the SPCC believes that the Department of Planning and Development and the City Council are entitled to an Environmental Impact Statement that considers alternatives that would satisfy the Providence-Swedish goals and would further the goals of the Land Use Code and Comprehensive Plan</w:t>
      </w:r>
      <w:r w:rsidR="00DC7FBF">
        <w:rPr>
          <w:rFonts w:ascii="Verdana" w:hAnsi="Verdana" w:cs="Times New Roman"/>
        </w:rPr>
        <w:t>.  T</w:t>
      </w:r>
      <w:r w:rsidRPr="00EB0542">
        <w:rPr>
          <w:rFonts w:ascii="Verdana" w:hAnsi="Verdana" w:cs="Times New Roman"/>
        </w:rPr>
        <w:t>he law requires such an EIS.</w:t>
      </w:r>
    </w:p>
    <w:p w:rsidR="00DC7FBF" w:rsidRPr="00EB0542" w:rsidRDefault="00DC7FBF"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fundamental error in the argument of the Respondents is that, while often throughout the hearing and in their arguments they point out that the EIS in this case is a “nonproject” EIS, they recognize</w:t>
      </w:r>
      <w:r w:rsidR="00DC7FBF">
        <w:rPr>
          <w:rFonts w:ascii="Verdana" w:hAnsi="Verdana" w:cs="Times New Roman"/>
        </w:rPr>
        <w:t xml:space="preserve"> that only when it is intended to further </w:t>
      </w:r>
      <w:r w:rsidRPr="00EB0542">
        <w:rPr>
          <w:rFonts w:ascii="Verdana" w:hAnsi="Verdana" w:cs="Times New Roman"/>
        </w:rPr>
        <w:t>their argument that particular is</w:t>
      </w:r>
      <w:r w:rsidR="00DC7FBF">
        <w:rPr>
          <w:rFonts w:ascii="Verdana" w:hAnsi="Verdana" w:cs="Times New Roman"/>
        </w:rPr>
        <w:t>sues of review should be postponed</w:t>
      </w:r>
      <w:r w:rsidRPr="00EB0542">
        <w:rPr>
          <w:rFonts w:ascii="Verdana" w:hAnsi="Verdana" w:cs="Times New Roman"/>
        </w:rPr>
        <w:t>.  On the other hand, where the Environmental Protection Act</w:t>
      </w:r>
      <w:r w:rsidR="00DC7FBF">
        <w:rPr>
          <w:rFonts w:ascii="Verdana" w:hAnsi="Verdana" w:cs="Times New Roman"/>
        </w:rPr>
        <w:t xml:space="preserve"> states that a nonproject action</w:t>
      </w:r>
      <w:r w:rsidRPr="00EB0542">
        <w:rPr>
          <w:rFonts w:ascii="Verdana" w:hAnsi="Verdana" w:cs="Times New Roman"/>
        </w:rPr>
        <w:t xml:space="preserve"> requires a greater range of alternatives to be reviewed b</w:t>
      </w:r>
      <w:r w:rsidR="00DC7FBF">
        <w:rPr>
          <w:rFonts w:ascii="Verdana" w:hAnsi="Verdana" w:cs="Times New Roman"/>
        </w:rPr>
        <w:t xml:space="preserve">y the EIS, </w:t>
      </w:r>
      <w:r w:rsidRPr="00EB0542">
        <w:rPr>
          <w:rFonts w:ascii="Verdana" w:hAnsi="Verdana" w:cs="Times New Roman"/>
        </w:rPr>
        <w:t>the Respondents rely on arguments that apply only to project-based reviews.</w:t>
      </w:r>
    </w:p>
    <w:p w:rsidR="00DC7FBF" w:rsidRDefault="00DC7FBF" w:rsidP="00EB0542">
      <w:pPr>
        <w:contextualSpacing/>
        <w:rPr>
          <w:rFonts w:ascii="Verdana" w:hAnsi="Verdana" w:cs="Times New Roman"/>
        </w:rPr>
      </w:pPr>
    </w:p>
    <w:p w:rsidR="004D2239" w:rsidRPr="00EB0542" w:rsidRDefault="004D2239"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b/>
          <w:u w:val="single"/>
        </w:rPr>
      </w:pPr>
      <w:r w:rsidRPr="00EB0542">
        <w:rPr>
          <w:rFonts w:ascii="Verdana" w:hAnsi="Verdana" w:cs="Times New Roman"/>
          <w:b/>
          <w:u w:val="single"/>
        </w:rPr>
        <w:t>An EIS for a Nonproject Action requires the analysis of a range of alternatives that</w:t>
      </w:r>
      <w:r w:rsidR="004D2239">
        <w:rPr>
          <w:rFonts w:ascii="Verdana" w:hAnsi="Verdana" w:cs="Times New Roman"/>
          <w:b/>
          <w:u w:val="single"/>
        </w:rPr>
        <w:t xml:space="preserve"> is fundamentally different from</w:t>
      </w:r>
      <w:r w:rsidRPr="00EB0542">
        <w:rPr>
          <w:rFonts w:ascii="Verdana" w:hAnsi="Verdana" w:cs="Times New Roman"/>
          <w:b/>
          <w:u w:val="single"/>
        </w:rPr>
        <w:t xml:space="preserve"> the range of alternatives required in an EIS for a Project Action.</w:t>
      </w:r>
    </w:p>
    <w:p w:rsidR="00EB0542" w:rsidRDefault="00EB0542" w:rsidP="00EB0542">
      <w:pPr>
        <w:contextualSpacing/>
        <w:rPr>
          <w:rFonts w:ascii="Verdana" w:hAnsi="Verdana" w:cs="Times New Roman"/>
        </w:rPr>
      </w:pPr>
      <w:r w:rsidRPr="00EB0542">
        <w:rPr>
          <w:rFonts w:ascii="Verdana" w:hAnsi="Verdana" w:cs="Times New Roman"/>
        </w:rPr>
        <w:t xml:space="preserve"> </w:t>
      </w:r>
    </w:p>
    <w:p w:rsidR="004D2239" w:rsidRPr="00EB0542" w:rsidRDefault="004D2239"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In a nonproject review, the EIS must include a review of alternatives that might accomplish the stated objective of the proposal.  The applicants, and the Department of Planning and Development, throughout the development of this EIS have confused the requirements of the law.  For a consideration of alternatives that might accomplish the “</w:t>
      </w:r>
      <w:r w:rsidRPr="00EB0542">
        <w:rPr>
          <w:rFonts w:ascii="Verdana" w:hAnsi="Verdana" w:cs="Times New Roman"/>
          <w:i/>
        </w:rPr>
        <w:t>stated objective</w:t>
      </w:r>
      <w:r w:rsidRPr="00EB0542">
        <w:rPr>
          <w:rFonts w:ascii="Verdana" w:hAnsi="Verdana" w:cs="Times New Roman"/>
        </w:rPr>
        <w:t>” of the proposal they have substituted a consideration of alternat</w:t>
      </w:r>
      <w:r w:rsidR="00993E7E">
        <w:rPr>
          <w:rFonts w:ascii="Verdana" w:hAnsi="Verdana" w:cs="Times New Roman"/>
        </w:rPr>
        <w:t>ives related to the applicant’s</w:t>
      </w:r>
      <w:r w:rsidRPr="00EB0542">
        <w:rPr>
          <w:rFonts w:ascii="Verdana" w:hAnsi="Verdana" w:cs="Times New Roman"/>
        </w:rPr>
        <w:t xml:space="preserve"> “</w:t>
      </w:r>
      <w:r w:rsidRPr="00EB0542">
        <w:rPr>
          <w:rFonts w:ascii="Verdana" w:hAnsi="Verdana" w:cs="Times New Roman"/>
          <w:i/>
        </w:rPr>
        <w:t>proposed action</w:t>
      </w:r>
      <w:r w:rsidRPr="00EB0542">
        <w:rPr>
          <w:rFonts w:ascii="Verdana" w:hAnsi="Verdana" w:cs="Times New Roman"/>
        </w:rPr>
        <w:t>.”  The consequences are significant and</w:t>
      </w:r>
      <w:r w:rsidR="00993E7E">
        <w:rPr>
          <w:rFonts w:ascii="Verdana" w:hAnsi="Verdana" w:cs="Times New Roman"/>
        </w:rPr>
        <w:t xml:space="preserve"> result in an EIS that fails to </w:t>
      </w:r>
      <w:r w:rsidRPr="00EB0542">
        <w:rPr>
          <w:rFonts w:ascii="Verdana" w:hAnsi="Verdana" w:cs="Times New Roman"/>
        </w:rPr>
        <w:t>comply with the law.</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Respondents, in their Response Brief, at page 21 state that “Squire Park appears to be operating under the false premise that the “purpose and intent” provision in SMC 23.69.002(C) … somehow requires development of off-site alternatives.”</w:t>
      </w:r>
    </w:p>
    <w:p w:rsidR="00DC7FBF" w:rsidRPr="00EB0542" w:rsidRDefault="00DC7FBF"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This is not a false premise. Because the very core of the Land Use Code provisions regarding Major Institutions is that decentralization be encouraged, a decentralization option must be analyzed by the EIS.</w:t>
      </w:r>
    </w:p>
    <w:p w:rsidR="00EB0542" w:rsidRP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r w:rsidRPr="00EB0542">
        <w:rPr>
          <w:rFonts w:ascii="Verdana" w:hAnsi="Verdana" w:cs="Times New Roman"/>
        </w:rPr>
        <w:t xml:space="preserve">The Response Brief argues that testimony at the hearing establishes that </w:t>
      </w:r>
      <w:r w:rsidRPr="00EB0542">
        <w:rPr>
          <w:rFonts w:ascii="Verdana" w:hAnsi="Verdana" w:cs="Times New Roman"/>
          <w:i/>
        </w:rPr>
        <w:t>all</w:t>
      </w:r>
      <w:r w:rsidRPr="00EB0542">
        <w:rPr>
          <w:rFonts w:ascii="Verdana" w:hAnsi="Verdana" w:cs="Times New Roman"/>
        </w:rPr>
        <w:t xml:space="preserve"> of the uses proposed by the proponents must be in the Cherry Hill location. The testimony of employees and advocates of the applicant cannot substitute for analysis in the EIS.  The EIS is supposed to be an “impartial analysis” to assist the decision make</w:t>
      </w:r>
      <w:r w:rsidR="00DC7FBF">
        <w:rPr>
          <w:rFonts w:ascii="Verdana" w:hAnsi="Verdana" w:cs="Times New Roman"/>
        </w:rPr>
        <w:t>r.</w:t>
      </w:r>
    </w:p>
    <w:p w:rsidR="00EB0542" w:rsidRDefault="00EB0542" w:rsidP="00EB0542">
      <w:pPr>
        <w:contextualSpacing/>
        <w:rPr>
          <w:rFonts w:ascii="Verdana" w:hAnsi="Verdana" w:cs="Times New Roman"/>
        </w:rPr>
      </w:pPr>
      <w:r w:rsidRPr="00EB0542">
        <w:rPr>
          <w:rFonts w:ascii="Verdana" w:hAnsi="Verdana" w:cs="Times New Roman"/>
        </w:rPr>
        <w:t xml:space="preserve">The Response brief argues that displacing some of the Sabey uses and/or putting some Providence-Swedish uses in other locations need not be analyzed because that “could not feasibly attain or approximate </w:t>
      </w:r>
      <w:r w:rsidRPr="00EB0542">
        <w:rPr>
          <w:rFonts w:ascii="Verdana" w:hAnsi="Verdana" w:cs="Times New Roman"/>
          <w:i/>
        </w:rPr>
        <w:t>a proposal’s objectives</w:t>
      </w:r>
      <w:r w:rsidRPr="00EB0542">
        <w:rPr>
          <w:rFonts w:ascii="Verdana" w:hAnsi="Verdana" w:cs="Times New Roman"/>
        </w:rPr>
        <w:t>,” (Respondent’s Response Brief p. 22).</w:t>
      </w:r>
    </w:p>
    <w:p w:rsidR="00EB0542" w:rsidRPr="00EB0542" w:rsidRDefault="00EB0542" w:rsidP="00EB0542">
      <w:pPr>
        <w:contextualSpacing/>
        <w:rPr>
          <w:rFonts w:ascii="Verdana" w:hAnsi="Verdana" w:cs="Times New Roman"/>
        </w:rPr>
      </w:pPr>
    </w:p>
    <w:p w:rsidR="00DC7FBF" w:rsidRDefault="00DC7FBF" w:rsidP="00EB0542">
      <w:pPr>
        <w:contextualSpacing/>
        <w:rPr>
          <w:rFonts w:ascii="Verdana" w:hAnsi="Verdana" w:cs="Times New Roman"/>
        </w:rPr>
      </w:pPr>
      <w:r>
        <w:rPr>
          <w:rFonts w:ascii="Verdana" w:hAnsi="Verdana" w:cs="Times New Roman"/>
        </w:rPr>
        <w:t>The Respondents misstate the proposal’s objective</w:t>
      </w:r>
      <w:r w:rsidR="00EB0542" w:rsidRPr="00EB0542">
        <w:rPr>
          <w:rFonts w:ascii="Verdana" w:hAnsi="Verdana" w:cs="Times New Roman"/>
        </w:rPr>
        <w:t xml:space="preserve"> in the EIS, stating that it is “to adopt a Major Institution Master Plan for the Swedish Medical Center, Cherry Hill Campus.”  </w:t>
      </w:r>
    </w:p>
    <w:p w:rsidR="00DC7FBF" w:rsidRDefault="00DC7FBF" w:rsidP="00EB0542">
      <w:pPr>
        <w:contextualSpacing/>
        <w:rPr>
          <w:rFonts w:ascii="Verdana" w:hAnsi="Verdana" w:cs="Times New Roman"/>
        </w:rPr>
      </w:pPr>
    </w:p>
    <w:p w:rsidR="00EB0542" w:rsidRDefault="00DC7FBF" w:rsidP="00EB0542">
      <w:pPr>
        <w:contextualSpacing/>
        <w:rPr>
          <w:rFonts w:ascii="Verdana" w:hAnsi="Verdana" w:cs="Times New Roman"/>
        </w:rPr>
      </w:pPr>
      <w:r>
        <w:rPr>
          <w:rFonts w:ascii="Verdana" w:hAnsi="Verdana" w:cs="Times New Roman"/>
        </w:rPr>
        <w:t xml:space="preserve">That is incorrect. </w:t>
      </w:r>
      <w:r w:rsidR="00EB0542" w:rsidRPr="00EB0542">
        <w:rPr>
          <w:rFonts w:ascii="Verdana" w:hAnsi="Verdana" w:cs="Times New Roman"/>
        </w:rPr>
        <w:t>The Respondent</w:t>
      </w:r>
      <w:r>
        <w:rPr>
          <w:rFonts w:ascii="Verdana" w:hAnsi="Verdana" w:cs="Times New Roman"/>
        </w:rPr>
        <w:t>s have substituted a statement</w:t>
      </w:r>
      <w:r w:rsidR="00EB0542" w:rsidRPr="00EB0542">
        <w:rPr>
          <w:rFonts w:ascii="Verdana" w:hAnsi="Verdana" w:cs="Times New Roman"/>
        </w:rPr>
        <w:t xml:space="preserve"> of the “</w:t>
      </w:r>
      <w:r w:rsidR="00EB0542" w:rsidRPr="00EB0542">
        <w:rPr>
          <w:rFonts w:ascii="Verdana" w:hAnsi="Verdana" w:cs="Times New Roman"/>
          <w:i/>
        </w:rPr>
        <w:t>proposed action</w:t>
      </w:r>
      <w:r w:rsidR="00EB0542" w:rsidRPr="00EB0542">
        <w:rPr>
          <w:rFonts w:ascii="Verdana" w:hAnsi="Verdana" w:cs="Times New Roman"/>
        </w:rPr>
        <w:t>” for “</w:t>
      </w:r>
      <w:r w:rsidR="00EB0542" w:rsidRPr="00EB0542">
        <w:rPr>
          <w:rFonts w:ascii="Verdana" w:hAnsi="Verdana" w:cs="Times New Roman"/>
          <w:i/>
        </w:rPr>
        <w:t>proposal’s objectives</w:t>
      </w:r>
      <w:r w:rsidR="00EB0542" w:rsidRPr="00EB0542">
        <w:rPr>
          <w:rFonts w:ascii="Verdana" w:hAnsi="Verdana" w:cs="Times New Roman"/>
        </w:rPr>
        <w:t>”.</w:t>
      </w:r>
    </w:p>
    <w:p w:rsidR="00EB0542" w:rsidRPr="00EB0542" w:rsidRDefault="00EB0542" w:rsidP="00EB0542">
      <w:pPr>
        <w:contextualSpacing/>
        <w:rPr>
          <w:rFonts w:ascii="Verdana" w:hAnsi="Verdana" w:cs="Times New Roman"/>
        </w:rPr>
      </w:pPr>
    </w:p>
    <w:p w:rsidR="00DC7FBF" w:rsidRDefault="00EB0542" w:rsidP="00EB0542">
      <w:pPr>
        <w:contextualSpacing/>
        <w:rPr>
          <w:rFonts w:ascii="Verdana" w:hAnsi="Verdana" w:cs="Times New Roman"/>
        </w:rPr>
      </w:pPr>
      <w:r w:rsidRPr="00EB0542">
        <w:rPr>
          <w:rFonts w:ascii="Verdana" w:hAnsi="Verdana" w:cs="Times New Roman"/>
        </w:rPr>
        <w:t xml:space="preserve">According to the EIS, the </w:t>
      </w:r>
      <w:r w:rsidRPr="00EB0542">
        <w:rPr>
          <w:rFonts w:ascii="Verdana" w:hAnsi="Verdana" w:cs="Times New Roman"/>
          <w:i/>
        </w:rPr>
        <w:t>proposal’s objective</w:t>
      </w:r>
      <w:r w:rsidRPr="00EB0542">
        <w:rPr>
          <w:rFonts w:ascii="Verdana" w:hAnsi="Verdana" w:cs="Times New Roman"/>
        </w:rPr>
        <w:t xml:space="preserve"> “is to provide flexibility as the medical center plans for the future while accommodating best medical practices and the needs of the neighborhood,” FEIS Section 2.1, page 2-1.</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DC7FBF" w:rsidRDefault="00EB0542" w:rsidP="00EB0542">
      <w:pPr>
        <w:contextualSpacing/>
        <w:rPr>
          <w:rFonts w:ascii="Verdana" w:hAnsi="Verdana" w:cs="Times New Roman"/>
        </w:rPr>
      </w:pPr>
      <w:r w:rsidRPr="00EB0542">
        <w:rPr>
          <w:rFonts w:ascii="Verdana" w:hAnsi="Verdana" w:cs="Times New Roman"/>
        </w:rPr>
        <w:t>The section ci</w:t>
      </w:r>
      <w:r w:rsidR="00DC7FBF">
        <w:rPr>
          <w:rFonts w:ascii="Verdana" w:hAnsi="Verdana" w:cs="Times New Roman"/>
        </w:rPr>
        <w:t xml:space="preserve">ted by Respondents to argue that only limited alternatives are to be considered </w:t>
      </w:r>
      <w:r w:rsidRPr="00EB0542">
        <w:rPr>
          <w:rFonts w:ascii="Verdana" w:hAnsi="Verdana" w:cs="Times New Roman"/>
        </w:rPr>
        <w:t>is a section of the Code that relates to project-based proposals.</w:t>
      </w:r>
    </w:p>
    <w:p w:rsidR="00DC7FBF" w:rsidRDefault="00DC7FBF" w:rsidP="00EB0542">
      <w:pPr>
        <w:contextualSpacing/>
        <w:rPr>
          <w:rFonts w:ascii="Verdana" w:hAnsi="Verdana" w:cs="Times New Roman"/>
        </w:rPr>
      </w:pPr>
    </w:p>
    <w:p w:rsidR="00EB0542" w:rsidRPr="00993E7E" w:rsidRDefault="00DC7FBF" w:rsidP="00EB0542">
      <w:pPr>
        <w:contextualSpacing/>
        <w:rPr>
          <w:rFonts w:ascii="Verdana" w:hAnsi="Verdana" w:cs="Times New Roman"/>
        </w:rPr>
      </w:pPr>
      <w:r>
        <w:rPr>
          <w:rFonts w:ascii="Verdana" w:hAnsi="Verdana" w:cs="Times New Roman"/>
        </w:rPr>
        <w:t>However, t</w:t>
      </w:r>
      <w:r w:rsidR="00EB0542" w:rsidRPr="00EB0542">
        <w:rPr>
          <w:rFonts w:ascii="Verdana" w:hAnsi="Verdana" w:cs="Times New Roman"/>
        </w:rPr>
        <w:t>he contents of an EIS for a nonproject proposal are set forth in SMC 25.05.442.</w:t>
      </w:r>
      <w:r>
        <w:rPr>
          <w:rFonts w:ascii="Verdana" w:hAnsi="Verdana" w:cs="Times New Roman"/>
        </w:rPr>
        <w:t xml:space="preserve">  </w:t>
      </w:r>
      <w:r w:rsidR="00EB0542" w:rsidRPr="00EB0542">
        <w:rPr>
          <w:rFonts w:ascii="Verdana" w:hAnsi="Verdana" w:cs="Times New Roman"/>
        </w:rPr>
        <w:t>In an EIS for a nonproject proposal:</w:t>
      </w:r>
      <w:r w:rsidR="00EB0542" w:rsidRPr="00EB0542">
        <w:rPr>
          <w:rFonts w:ascii="Verdana" w:hAnsi="Verdana" w:cs="Times New Roman"/>
          <w:i/>
        </w:rPr>
        <w:t xml:space="preserve">“(a)lternatives should be emphasized.  In particular, agencies are encouraged to describe the proposal in terms of alternative means of accomplishing a </w:t>
      </w:r>
      <w:r w:rsidR="00EB0542" w:rsidRPr="00EB0542">
        <w:rPr>
          <w:rFonts w:ascii="Verdana" w:hAnsi="Verdana" w:cs="Times New Roman"/>
          <w:i/>
          <w:u w:val="single"/>
        </w:rPr>
        <w:t>stated objective</w:t>
      </w:r>
      <w:r w:rsidR="00EB0542" w:rsidRPr="00EB0542">
        <w:rPr>
          <w:rFonts w:ascii="Verdana" w:hAnsi="Verdana" w:cs="Times New Roman"/>
          <w:i/>
        </w:rPr>
        <w:t xml:space="preserve"> (see Section 25.05.060 C.)  </w:t>
      </w:r>
      <w:r w:rsidR="00EB0542" w:rsidRPr="00EB0542">
        <w:rPr>
          <w:rFonts w:ascii="Verdana" w:hAnsi="Verdana" w:cs="Times New Roman"/>
          <w:i/>
          <w:u w:val="single"/>
        </w:rPr>
        <w:t>Alternatives including the proposed action</w:t>
      </w:r>
      <w:r w:rsidR="00EB0542" w:rsidRPr="00EB0542">
        <w:rPr>
          <w:rFonts w:ascii="Verdana" w:hAnsi="Verdana" w:cs="Times New Roman"/>
          <w:i/>
        </w:rPr>
        <w:t xml:space="preserve"> should be analyzed at a roughly comparable level of detail sufficient to evaluate their compa</w:t>
      </w:r>
      <w:r w:rsidR="00993E7E">
        <w:rPr>
          <w:rFonts w:ascii="Verdana" w:hAnsi="Verdana" w:cs="Times New Roman"/>
          <w:i/>
        </w:rPr>
        <w:t xml:space="preserve">rative merits … </w:t>
      </w:r>
      <w:r w:rsidR="00EB0542" w:rsidRPr="00EB0542">
        <w:rPr>
          <w:rFonts w:ascii="Verdana" w:hAnsi="Verdana" w:cs="Times New Roman"/>
          <w:i/>
        </w:rPr>
        <w:t xml:space="preserve">(emphasis added). </w:t>
      </w:r>
    </w:p>
    <w:p w:rsidR="00EB0542" w:rsidRPr="00EB0542" w:rsidRDefault="00EB0542" w:rsidP="00EB0542">
      <w:pPr>
        <w:contextualSpacing/>
        <w:rPr>
          <w:rFonts w:ascii="Verdana" w:hAnsi="Verdana" w:cs="Times New Roman"/>
          <w:i/>
        </w:rPr>
      </w:pPr>
    </w:p>
    <w:p w:rsidR="00EB0542" w:rsidRDefault="0016095E" w:rsidP="00EB0542">
      <w:pPr>
        <w:contextualSpacing/>
        <w:rPr>
          <w:rFonts w:ascii="Verdana" w:hAnsi="Verdana" w:cs="Times New Roman"/>
        </w:rPr>
      </w:pPr>
      <w:r>
        <w:rPr>
          <w:rFonts w:ascii="Verdana" w:hAnsi="Verdana" w:cs="Times New Roman"/>
        </w:rPr>
        <w:t>T</w:t>
      </w:r>
      <w:r w:rsidR="00EB0542" w:rsidRPr="00EB0542">
        <w:rPr>
          <w:rFonts w:ascii="Verdana" w:hAnsi="Verdana" w:cs="Times New Roman"/>
        </w:rPr>
        <w:t xml:space="preserve">he brief of the </w:t>
      </w:r>
      <w:r>
        <w:rPr>
          <w:rFonts w:ascii="Verdana" w:hAnsi="Verdana" w:cs="Times New Roman"/>
        </w:rPr>
        <w:t xml:space="preserve">two </w:t>
      </w:r>
      <w:r w:rsidR="00EB0542" w:rsidRPr="00EB0542">
        <w:rPr>
          <w:rFonts w:ascii="Verdana" w:hAnsi="Verdana" w:cs="Times New Roman"/>
        </w:rPr>
        <w:t>applicants and the lead agency, the Department of Planning and D</w:t>
      </w:r>
      <w:r>
        <w:rPr>
          <w:rFonts w:ascii="Verdana" w:hAnsi="Verdana" w:cs="Times New Roman"/>
        </w:rPr>
        <w:t>evelopment, starkly demonstrates</w:t>
      </w:r>
      <w:r w:rsidR="00EB0542" w:rsidRPr="00EB0542">
        <w:rPr>
          <w:rFonts w:ascii="Verdana" w:hAnsi="Verdana" w:cs="Times New Roman"/>
        </w:rPr>
        <w:t xml:space="preserve"> why this EIS is inadequate.  From the beginning of the process to the final brief the “proposed action” has bee</w:t>
      </w:r>
      <w:r>
        <w:rPr>
          <w:rFonts w:ascii="Verdana" w:hAnsi="Verdana" w:cs="Times New Roman"/>
        </w:rPr>
        <w:t>n confused with the “proposal’s</w:t>
      </w:r>
      <w:r w:rsidR="00EB0542" w:rsidRPr="00EB0542">
        <w:rPr>
          <w:rFonts w:ascii="Verdana" w:hAnsi="Verdana" w:cs="Times New Roman"/>
        </w:rPr>
        <w:t xml:space="preserve"> objectives”.  SMC 25.05.442 expects that the “propo</w:t>
      </w:r>
      <w:r>
        <w:rPr>
          <w:rFonts w:ascii="Verdana" w:hAnsi="Verdana" w:cs="Times New Roman"/>
        </w:rPr>
        <w:t>sed action” of the applicants not be the only</w:t>
      </w:r>
      <w:r w:rsidR="00EB0542" w:rsidRPr="00EB0542">
        <w:rPr>
          <w:rFonts w:ascii="Verdana" w:hAnsi="Verdana" w:cs="Times New Roman"/>
        </w:rPr>
        <w:t xml:space="preserve"> alternative analyzed, but rather that it be </w:t>
      </w:r>
      <w:r w:rsidR="00EB0542" w:rsidRPr="00EB0542">
        <w:rPr>
          <w:rFonts w:ascii="Verdana" w:hAnsi="Verdana" w:cs="Times New Roman"/>
          <w:i/>
        </w:rPr>
        <w:t>one</w:t>
      </w:r>
      <w:r w:rsidR="00EB0542" w:rsidRPr="00EB0542">
        <w:rPr>
          <w:rFonts w:ascii="Verdana" w:hAnsi="Verdana" w:cs="Times New Roman"/>
        </w:rPr>
        <w:t xml:space="preserve"> of the alternatives analyzed.</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In </w:t>
      </w:r>
      <w:r w:rsidRPr="00EB0542">
        <w:rPr>
          <w:rFonts w:ascii="Verdana" w:hAnsi="Verdana" w:cs="Times New Roman"/>
          <w:i/>
        </w:rPr>
        <w:t>Citizens Alliance v. Auburn</w:t>
      </w:r>
      <w:r w:rsidRPr="00EB0542">
        <w:rPr>
          <w:rFonts w:ascii="Verdana" w:hAnsi="Verdana" w:cs="Times New Roman"/>
        </w:rPr>
        <w:t>, 126 Wn. 2d 356 (1995) the Washington Supreme Court discussed the different expectations of an EIS in “project” and “nonproject” cases.  There the applicant wanted to build a race track on a specific site within the jurisdiction of the city of Auburn.  The Court held that “because there is also a nonproject action involved in this case, Auburn is obligated to review offsite alternatives, 126 Wn. 2d 356.</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Default="00EB0542" w:rsidP="00EB0542">
      <w:pPr>
        <w:contextualSpacing/>
        <w:rPr>
          <w:rFonts w:ascii="Verdana" w:hAnsi="Verdana" w:cs="Times New Roman"/>
        </w:rPr>
      </w:pPr>
      <w:r w:rsidRPr="00EB0542">
        <w:rPr>
          <w:rFonts w:ascii="Verdana" w:hAnsi="Verdana" w:cs="Times New Roman"/>
        </w:rPr>
        <w:t xml:space="preserve">Further, the Court stated “(t)he environmental significance of the nonproject action creates the obligation to examine alternatives to the nonproject action.  … Auburn had to look at reasonable, feasible offsite alternatives to the building of a racetrack on lands zoned heavy industrial.”(The </w:t>
      </w:r>
      <w:r w:rsidR="00993E7E">
        <w:rPr>
          <w:rFonts w:ascii="Verdana" w:hAnsi="Verdana" w:cs="Times New Roman"/>
        </w:rPr>
        <w:t>Court then continued</w:t>
      </w:r>
      <w:r w:rsidRPr="00EB0542">
        <w:rPr>
          <w:rFonts w:ascii="Verdana" w:hAnsi="Verdana" w:cs="Times New Roman"/>
        </w:rPr>
        <w:t xml:space="preserve"> “(w)e do not conclude that every nonproject action requires such analysis.  The SEPA rules underscore flexibility and gauge the level of detail according to the proposal at issue.”</w:t>
      </w:r>
      <w:r>
        <w:rPr>
          <w:rFonts w:ascii="Verdana" w:hAnsi="Verdana" w:cs="Times New Roman"/>
        </w:rPr>
        <w:t>)</w:t>
      </w:r>
    </w:p>
    <w:p w:rsidR="00EB0542" w:rsidRPr="00EB0542" w:rsidRDefault="00EB0542" w:rsidP="00EB0542">
      <w:pPr>
        <w:contextualSpacing/>
        <w:rPr>
          <w:rFonts w:ascii="Verdana" w:hAnsi="Verdana" w:cs="Times New Roman"/>
        </w:rPr>
      </w:pPr>
    </w:p>
    <w:p w:rsidR="00EB0542" w:rsidRDefault="00993E7E" w:rsidP="00EB0542">
      <w:pPr>
        <w:contextualSpacing/>
        <w:rPr>
          <w:rFonts w:ascii="Verdana" w:hAnsi="Verdana" w:cs="Times New Roman"/>
        </w:rPr>
      </w:pPr>
      <w:r>
        <w:rPr>
          <w:rFonts w:ascii="Verdana" w:hAnsi="Verdana" w:cs="Times New Roman"/>
        </w:rPr>
        <w:t>There, it</w:t>
      </w:r>
      <w:r w:rsidR="00EB0542" w:rsidRPr="00EB0542">
        <w:rPr>
          <w:rFonts w:ascii="Verdana" w:hAnsi="Verdana" w:cs="Times New Roman"/>
        </w:rPr>
        <w:t xml:space="preserve"> was demonstrated that Auburn, in its EIS had discharged its responsibility by considering three alternative sites for a race track within its jurisdiction.</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In the instant case, the EIS for the lead agency, DPD failed to make any inquiry into offsite alternatives.  None.</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Default="00EB0542" w:rsidP="00EB0542">
      <w:pPr>
        <w:contextualSpacing/>
        <w:rPr>
          <w:rFonts w:ascii="Verdana" w:hAnsi="Verdana" w:cs="Times New Roman"/>
        </w:rPr>
      </w:pPr>
      <w:r w:rsidRPr="00EB0542">
        <w:rPr>
          <w:rFonts w:ascii="Verdana" w:hAnsi="Verdana" w:cs="Times New Roman"/>
        </w:rPr>
        <w:t>It also made no inquiry into onsite alternatives that would have allowed Swedish to use the property within the MIO that is now occupied by Sabey or its tenants.  Is it possible that the development of the proposal’s objectives could be satisfied, with less impact to the environment if Swedish were to occupy those parts of the campus?  The EIS provides no information which would help a decision maker make an informed decision.</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In </w:t>
      </w:r>
      <w:r w:rsidRPr="00EB0542">
        <w:rPr>
          <w:rFonts w:ascii="Verdana" w:hAnsi="Verdana" w:cs="Times New Roman"/>
          <w:i/>
        </w:rPr>
        <w:t>Weyerhauser v. Pierce County</w:t>
      </w:r>
      <w:r w:rsidRPr="00EB0542">
        <w:rPr>
          <w:rFonts w:ascii="Verdana" w:hAnsi="Verdana" w:cs="Times New Roman"/>
        </w:rPr>
        <w:t>, 124 Wn.2d 26 (1994) involving a n</w:t>
      </w:r>
      <w:r w:rsidR="0016095E">
        <w:rPr>
          <w:rFonts w:ascii="Verdana" w:hAnsi="Verdana" w:cs="Times New Roman"/>
        </w:rPr>
        <w:t xml:space="preserve">onproject EIS for </w:t>
      </w:r>
      <w:r w:rsidRPr="00EB0542">
        <w:rPr>
          <w:rFonts w:ascii="Verdana" w:hAnsi="Verdana" w:cs="Times New Roman"/>
        </w:rPr>
        <w:t>the siting of a solid waste facility, the Court found the EIS to be inadequate for its failure to reasonably examine potential alternatives.  The EIS in that case did contain some discussion of alternative sites --- sites which were found by the EIS to be unsuitable.  The Court found that</w:t>
      </w:r>
      <w:r w:rsidR="0016095E">
        <w:rPr>
          <w:rFonts w:ascii="Verdana" w:hAnsi="Verdana" w:cs="Times New Roman"/>
        </w:rPr>
        <w:t xml:space="preserve"> discussion to be inadequate</w:t>
      </w:r>
      <w:r w:rsidRPr="00EB0542">
        <w:rPr>
          <w:rFonts w:ascii="Verdana" w:hAnsi="Verdana" w:cs="Times New Roman"/>
        </w:rPr>
        <w:t>, stating that “the pages 19 to 33 of the final EIS do not contain the required discussion.  Instead, those pages contain a discussion of LRI’s site selection process, and the brief descriptions of rejected sites consist of conclusory statements of LRI’s assessment of possible sites examined in the site selection process.”  The Court concluded that, “(b)ecause the EIS completely fails to discuss any offsite alternatives, it is inadequate as a matter of law.  The EIS must be revised to contain a discussion of alternative sites.”</w:t>
      </w:r>
    </w:p>
    <w:p w:rsidR="0016095E" w:rsidRPr="00EB0542" w:rsidRDefault="0016095E" w:rsidP="00EB0542">
      <w:pPr>
        <w:contextualSpacing/>
        <w:rPr>
          <w:rFonts w:ascii="Verdana" w:hAnsi="Verdana" w:cs="Times New Roman"/>
        </w:rPr>
      </w:pPr>
    </w:p>
    <w:p w:rsidR="0016095E" w:rsidRDefault="00EB0542" w:rsidP="00EB0542">
      <w:pPr>
        <w:contextualSpacing/>
        <w:rPr>
          <w:rFonts w:ascii="Verdana" w:hAnsi="Verdana" w:cs="Times New Roman"/>
        </w:rPr>
      </w:pPr>
      <w:r w:rsidRPr="00EB0542">
        <w:rPr>
          <w:rFonts w:ascii="Verdana" w:hAnsi="Verdana" w:cs="Times New Roman"/>
        </w:rPr>
        <w:t xml:space="preserve">The EIS in the instant case implies that no other site could possible satisfy any of the applicant’s stated needs.  This is less than a “brief description of rejected sites”. </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Default="0016095E" w:rsidP="00EB0542">
      <w:pPr>
        <w:contextualSpacing/>
        <w:rPr>
          <w:rFonts w:ascii="Verdana" w:hAnsi="Verdana" w:cs="Times New Roman"/>
        </w:rPr>
      </w:pPr>
      <w:r>
        <w:rPr>
          <w:rFonts w:ascii="Verdana" w:hAnsi="Verdana" w:cs="Times New Roman"/>
        </w:rPr>
        <w:t>The</w:t>
      </w:r>
      <w:r w:rsidR="00EB0542" w:rsidRPr="00EB0542">
        <w:rPr>
          <w:rFonts w:ascii="Verdana" w:hAnsi="Verdana" w:cs="Times New Roman"/>
        </w:rPr>
        <w:t xml:space="preserve"> instant case is similar to the case of </w:t>
      </w:r>
      <w:r w:rsidR="00EB0542" w:rsidRPr="00EB0542">
        <w:rPr>
          <w:rFonts w:ascii="Verdana" w:hAnsi="Verdana" w:cs="Times New Roman"/>
          <w:i/>
        </w:rPr>
        <w:t>Barrie v. Kitsap County</w:t>
      </w:r>
      <w:r w:rsidR="00EB0542" w:rsidRPr="00EB0542">
        <w:rPr>
          <w:rFonts w:ascii="Verdana" w:hAnsi="Verdana" w:cs="Times New Roman"/>
        </w:rPr>
        <w:t>, 93 Wn.2d 843 (1980) where the Court also interpreted the requirements of an EIS in a nonproject action.  Kitsap County, the Court said, should have looked at the County’s objective, not only at the applicant’s specific goal, and should have produced an EIS that looked at more than one location for the proposed action (a regional shopping center.) The Court cited WAC 197-10-442(2): “The lead agency should be aware that typically in developing and reviewing proposals for nonproject actions the range of alternatives is broader than in developing a proposal for a project action (which is often narrowed to a specific location and design).  The proposal should be described in a manner which encourages consideration of a number of alternative methods of accomplishing its objective.  For example, an objective of an agency’s proposal should be stated as “the facilitation of the movement of people from point A to point B” rather than “the widening of an urban arterial in order to accommodate additional privately-owned passenger vehicles.”</w:t>
      </w:r>
    </w:p>
    <w:p w:rsidR="00EB0542" w:rsidRPr="00EB0542" w:rsidRDefault="00EB0542" w:rsidP="00EB0542">
      <w:pPr>
        <w:contextualSpacing/>
        <w:rPr>
          <w:rFonts w:ascii="Verdana" w:hAnsi="Verdana" w:cs="Times New Roman"/>
        </w:rPr>
      </w:pPr>
    </w:p>
    <w:p w:rsidR="00EB0542" w:rsidRDefault="0016095E" w:rsidP="00EB0542">
      <w:pPr>
        <w:contextualSpacing/>
        <w:rPr>
          <w:rFonts w:ascii="Verdana" w:hAnsi="Verdana" w:cs="Times New Roman"/>
        </w:rPr>
      </w:pPr>
      <w:r>
        <w:rPr>
          <w:rFonts w:ascii="Verdana" w:hAnsi="Verdana" w:cs="Times New Roman"/>
        </w:rPr>
        <w:t>A</w:t>
      </w:r>
      <w:r w:rsidR="00EB0542" w:rsidRPr="00EB0542">
        <w:rPr>
          <w:rFonts w:ascii="Verdana" w:hAnsi="Verdana" w:cs="Times New Roman"/>
        </w:rPr>
        <w:t>t the hearing, staff and advocates for Providence-Swedish and Sabey consistently asserted that it was necessary for all of the use</w:t>
      </w:r>
      <w:r>
        <w:rPr>
          <w:rFonts w:ascii="Verdana" w:hAnsi="Verdana" w:cs="Times New Roman"/>
        </w:rPr>
        <w:t>s currently at the Cherry Hill c</w:t>
      </w:r>
      <w:r w:rsidR="00EB0542" w:rsidRPr="00EB0542">
        <w:rPr>
          <w:rFonts w:ascii="Verdana" w:hAnsi="Verdana" w:cs="Times New Roman"/>
        </w:rPr>
        <w:t>ampus to remain at their current location. Whether or not this is true, the EIS does not assist in answering.  Eleventh hour testimony by advocates for a proposal is not a substitute for the impartial analysis that the Environmental Protection Act requires.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It is not necessarily the case that </w:t>
      </w:r>
      <w:r w:rsidRPr="00EB0542">
        <w:rPr>
          <w:rFonts w:ascii="Verdana" w:hAnsi="Verdana" w:cs="Times New Roman"/>
          <w:i/>
        </w:rPr>
        <w:t xml:space="preserve">all </w:t>
      </w:r>
      <w:r w:rsidRPr="00EB0542">
        <w:rPr>
          <w:rFonts w:ascii="Verdana" w:hAnsi="Verdana" w:cs="Times New Roman"/>
        </w:rPr>
        <w:t>Major Institution Master Plan Environmental Impact Statements in Seattle are required to include a consideration of alternative sites. In fundamental ways, this particular institution is perhaps unlike any other Major Institution in the Seattle.  It is the branch of a multi-state health care services company with many locations in the City and the region.  A significant portion of the institution’s campus has been sold to an outside party which has pursued a number of projects unrelated to Swedish, although they are medical in nature.  There are locational choices that are reasonable to explore.</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Land Use Code disfavors the uses and development features required by a major institution in a residential zone, but allows them to a limited extent because universities and hospitals serve a public function.  The language of the Major Institution Master Plan sections of the Land Use Code describe extraordinary acco</w:t>
      </w:r>
      <w:r w:rsidR="0016095E">
        <w:rPr>
          <w:rFonts w:ascii="Verdana" w:hAnsi="Verdana" w:cs="Times New Roman"/>
        </w:rPr>
        <w:t>mmodations necessary for public-</w:t>
      </w:r>
      <w:r w:rsidRPr="00EB0542">
        <w:rPr>
          <w:rFonts w:ascii="Verdana" w:hAnsi="Verdana" w:cs="Times New Roman"/>
        </w:rPr>
        <w:t>serving educational and medical entities, not profit-making entities.  The limited exemption is not necessarily available to allow any medical-related use of any entity in a residential zone.  It is reasonable for the EIS to have an impartial discussion of the particular facts of the Providence-Swedish and Sabey developments and the possibility that there could be a plan that is significantly less harmful to the environment.</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Instead, the EIS, contains no specific information about the extent of the non-Swedish space on campus.  How much space is occupied by the Northwest Kidney Center and LabCorp and other Sabey tenants?  The City Council should know before making its decision.</w:t>
      </w:r>
    </w:p>
    <w:p w:rsidR="0016095E" w:rsidRDefault="0016095E" w:rsidP="00EB0542">
      <w:pPr>
        <w:contextualSpacing/>
        <w:rPr>
          <w:rFonts w:ascii="Verdana" w:hAnsi="Verdana" w:cs="Times New Roman"/>
        </w:rPr>
      </w:pPr>
    </w:p>
    <w:p w:rsidR="00EB0542" w:rsidRDefault="0016095E" w:rsidP="00EB0542">
      <w:pPr>
        <w:contextualSpacing/>
        <w:rPr>
          <w:rFonts w:ascii="Verdana" w:hAnsi="Verdana" w:cs="Times New Roman"/>
        </w:rPr>
      </w:pPr>
      <w:r>
        <w:rPr>
          <w:rFonts w:ascii="Verdana" w:hAnsi="Verdana" w:cs="Times New Roman"/>
        </w:rPr>
        <w:t>By failing</w:t>
      </w:r>
      <w:r w:rsidR="00EB0542" w:rsidRPr="00EB0542">
        <w:rPr>
          <w:rFonts w:ascii="Verdana" w:hAnsi="Verdana" w:cs="Times New Roman"/>
        </w:rPr>
        <w:t xml:space="preserve"> to require anything more of the EIS than the alternative fa</w:t>
      </w:r>
      <w:r>
        <w:rPr>
          <w:rFonts w:ascii="Verdana" w:hAnsi="Verdana" w:cs="Times New Roman"/>
        </w:rPr>
        <w:t xml:space="preserve">vored by Providence-Swedish, the City </w:t>
      </w:r>
      <w:r w:rsidR="00EB0542" w:rsidRPr="00EB0542">
        <w:rPr>
          <w:rFonts w:ascii="Verdana" w:hAnsi="Verdana" w:cs="Times New Roman"/>
        </w:rPr>
        <w:t>made the same mistake it is making in the “Joint Brief” today.  DPD has forgotten what the proposal’s objective is:  “… to provide flexibility as the medical center plans for the future while accommodating best medical practices and the needs of the neighborhood,” FEIS p. 2-1.  The so-called “alternatives” set forth in the EIS are not “alternatives” in the sense that the law requires</w:t>
      </w:r>
      <w:r w:rsidR="00993E7E">
        <w:rPr>
          <w:rFonts w:ascii="Verdana" w:hAnsi="Verdana" w:cs="Times New Roman"/>
        </w:rPr>
        <w:t xml:space="preserve"> to</w:t>
      </w:r>
      <w:r w:rsidR="00EB0542" w:rsidRPr="00EB0542">
        <w:rPr>
          <w:rFonts w:ascii="Verdana" w:hAnsi="Verdana" w:cs="Times New Roman"/>
        </w:rPr>
        <w:t xml:space="preserve"> be analyzed.  They are simply different variations of the proposed action of the two applicants, Providence-Swedish and the Sabey Corporation.</w:t>
      </w:r>
    </w:p>
    <w:p w:rsidR="00EB0542" w:rsidRDefault="00EB0542" w:rsidP="00EB0542">
      <w:pPr>
        <w:contextualSpacing/>
        <w:rPr>
          <w:rFonts w:ascii="Verdana" w:hAnsi="Verdana" w:cs="Times New Roman"/>
        </w:rPr>
      </w:pPr>
    </w:p>
    <w:p w:rsidR="004D2239" w:rsidRPr="00EB0542" w:rsidRDefault="004D2239"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b/>
          <w:u w:val="single"/>
        </w:rPr>
      </w:pPr>
      <w:r w:rsidRPr="00EB0542">
        <w:rPr>
          <w:rFonts w:ascii="Verdana" w:hAnsi="Verdana" w:cs="Times New Roman"/>
          <w:b/>
          <w:u w:val="single"/>
        </w:rPr>
        <w:t>In a nonproject case reasonably anticipated impacts must be analyzed in the EIS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Since 1994  --- when the previous MIMP for this institution was approved --- the Land Use Code has been amended so that MIMP’s, formerly seen as project-related, are no longer reviewed that way.  Swedish and Sabey representatives pointed out repeatedly at the hearing in this matter that this is a nonproject-related EIS and that there would be opportunities in the future to evaluate particular impacts as particular projects were proposed.  At the same time, Swedish and Sabey have argued strenuously that all of the future development requested in their proposed MIMP is necessary to the success of their plans.  None of it can succeed unless all parts are approved, they argue.</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In the future, specific buildings will have specific</w:t>
      </w:r>
      <w:r w:rsidR="00993E7E">
        <w:rPr>
          <w:rFonts w:ascii="Verdana" w:hAnsi="Verdana" w:cs="Times New Roman"/>
        </w:rPr>
        <w:t xml:space="preserve"> configurations and uses requiring future project-related analyses</w:t>
      </w:r>
      <w:r w:rsidRPr="00EB0542">
        <w:rPr>
          <w:rFonts w:ascii="Verdana" w:hAnsi="Verdana" w:cs="Times New Roman"/>
        </w:rPr>
        <w:t xml:space="preserve"> of their impa</w:t>
      </w:r>
      <w:r w:rsidR="00993E7E">
        <w:rPr>
          <w:rFonts w:ascii="Verdana" w:hAnsi="Verdana" w:cs="Times New Roman"/>
        </w:rPr>
        <w:t>cts</w:t>
      </w:r>
      <w:r w:rsidRPr="00EB0542">
        <w:rPr>
          <w:rFonts w:ascii="Verdana" w:hAnsi="Verdana" w:cs="Times New Roman"/>
        </w:rPr>
        <w:t>.  However, it is not appropriate, nor is it adequate, for the EIS to postpone an impartial analysis of traffic and transportation impacts,</w:t>
      </w:r>
      <w:r w:rsidR="00993E7E">
        <w:rPr>
          <w:rFonts w:ascii="Verdana" w:hAnsi="Verdana" w:cs="Times New Roman"/>
        </w:rPr>
        <w:t xml:space="preserve"> as </w:t>
      </w:r>
      <w:r w:rsidRPr="00EB0542">
        <w:rPr>
          <w:rFonts w:ascii="Verdana" w:hAnsi="Verdana" w:cs="Times New Roman"/>
        </w:rPr>
        <w:t>the Respondents argue.  The proposed MIMP te</w:t>
      </w:r>
      <w:r w:rsidR="0016095E">
        <w:rPr>
          <w:rFonts w:ascii="Verdana" w:hAnsi="Verdana" w:cs="Times New Roman"/>
        </w:rPr>
        <w:t xml:space="preserve">lls us how </w:t>
      </w:r>
      <w:r w:rsidRPr="00EB0542">
        <w:rPr>
          <w:rFonts w:ascii="Verdana" w:hAnsi="Verdana" w:cs="Times New Roman"/>
        </w:rPr>
        <w:t>how many daily trips to expect. To postpone a detailed analysis of those impacts and mitigation alternatives is inadequate.</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Despite the Respondents’ assertion, a most significant failing of the EIS is the failure </w:t>
      </w:r>
      <w:r w:rsidR="0016095E">
        <w:rPr>
          <w:rFonts w:ascii="Verdana" w:hAnsi="Verdana" w:cs="Times New Roman"/>
        </w:rPr>
        <w:t xml:space="preserve">to discuss meaningfully </w:t>
      </w:r>
      <w:r w:rsidRPr="00EB0542">
        <w:rPr>
          <w:rFonts w:ascii="Verdana" w:hAnsi="Verdana" w:cs="Times New Roman"/>
        </w:rPr>
        <w:t>transit capacity and street capacity impacts.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To this issue, the Respondents say, never mind, “an analysis of available transit capacity will occur when specific projects are proposed,” (Respondents’ Joint Response Brief, at page 19).  It may be that “transit capacity varies over time” as the Respondents argue.  However, transit capacity does not vary or increase without significant cost and significant planning.</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only all-day regular (non-express) Metro transit service to the Swedish Cherry Hill campus is Metro Route 3/4.  The EIS obscures, rather than illuminates the relevant facts, by representing that transit capacity for the institution can be determined by counting empty seats in the bus when it arrives or departs the bus stop at 17</w:t>
      </w:r>
      <w:r w:rsidRPr="00EB0542">
        <w:rPr>
          <w:rFonts w:ascii="Verdana" w:hAnsi="Verdana" w:cs="Times New Roman"/>
          <w:vertAlign w:val="superscript"/>
        </w:rPr>
        <w:t>th</w:t>
      </w:r>
      <w:r w:rsidRPr="00EB0542">
        <w:rPr>
          <w:rFonts w:ascii="Verdana" w:hAnsi="Verdana" w:cs="Times New Roman"/>
        </w:rPr>
        <w:t xml:space="preserve"> and Jefferson.  The hearing testimony of Ross Tilghman and others established that transit capacity really depends on how full is the bus at points where Cherry Hill-bound passengers may need to board ---that is points west of the Cherry Hill campus including downtown, and Harborview Medical Center.  The testimony further established that there is little or no transit capacity on the existing routes between Cherry Hill and downtown --- even now.</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At the hearing, the institution’s only argument was that maybe Metro could add more buses, or </w:t>
      </w:r>
      <w:r w:rsidR="00993E7E">
        <w:rPr>
          <w:rFonts w:ascii="Verdana" w:hAnsi="Verdana" w:cs="Times New Roman"/>
        </w:rPr>
        <w:t xml:space="preserve">could provide bigger buses. </w:t>
      </w:r>
      <w:r w:rsidRPr="00EB0542">
        <w:rPr>
          <w:rFonts w:ascii="Verdana" w:hAnsi="Verdana" w:cs="Times New Roman"/>
        </w:rPr>
        <w:t>Ross Ti</w:t>
      </w:r>
      <w:r w:rsidR="00993E7E">
        <w:rPr>
          <w:rFonts w:ascii="Verdana" w:hAnsi="Verdana" w:cs="Times New Roman"/>
        </w:rPr>
        <w:t xml:space="preserve">lghman testified that the </w:t>
      </w:r>
      <w:r w:rsidRPr="00EB0542">
        <w:rPr>
          <w:rFonts w:ascii="Verdana" w:hAnsi="Verdana" w:cs="Times New Roman"/>
        </w:rPr>
        <w:t>route in question already has the most frequent level of service in Metro’s system, making it unlikely if not impossible to increase service.  Furthermore, the route travels on a street that is already heavily congested</w:t>
      </w:r>
      <w:r w:rsidR="00993E7E">
        <w:rPr>
          <w:rFonts w:ascii="Verdana" w:hAnsi="Verdana" w:cs="Times New Roman"/>
        </w:rPr>
        <w:t xml:space="preserve"> and predicted by the EIS to be</w:t>
      </w:r>
      <w:r w:rsidRPr="00EB0542">
        <w:rPr>
          <w:rFonts w:ascii="Verdana" w:hAnsi="Verdana" w:cs="Times New Roman"/>
        </w:rPr>
        <w:t xml:space="preserve"> more congested.  (The EIS predicts that travel time between Broadway and I-5 will, during afternoon peak time, increase from the current average of about 6 minutes to about 9 minutes, (EIS Appendix C, p. C-105). In an effort to conceal the significa</w:t>
      </w:r>
      <w:r w:rsidR="00993E7E">
        <w:rPr>
          <w:rFonts w:ascii="Verdana" w:hAnsi="Verdana" w:cs="Times New Roman"/>
        </w:rPr>
        <w:t>nce of the congestion</w:t>
      </w:r>
      <w:r w:rsidRPr="00EB0542">
        <w:rPr>
          <w:rFonts w:ascii="Verdana" w:hAnsi="Verdana" w:cs="Times New Roman"/>
        </w:rPr>
        <w:t xml:space="preserve">, the institution’s witness at the hearing chose to describe the increased congestion as resulting in a reduction in average speed from 6 mph to 4 mph.  Doesn’t sound like much.  But, the travel time for the few blocks involved --- necessary to get to the regional transportation artery that is Interstate 5 --- is the meaningful measure, not miles per hour. This is </w:t>
      </w:r>
      <w:r w:rsidR="0016095E">
        <w:rPr>
          <w:rFonts w:ascii="Verdana" w:hAnsi="Verdana" w:cs="Times New Roman"/>
        </w:rPr>
        <w:t xml:space="preserve">but </w:t>
      </w:r>
      <w:r w:rsidRPr="00EB0542">
        <w:rPr>
          <w:rFonts w:ascii="Verdana" w:hAnsi="Verdana" w:cs="Times New Roman"/>
        </w:rPr>
        <w:t>one example of a seriously congested route.</w:t>
      </w:r>
    </w:p>
    <w:p w:rsidR="00993E7E" w:rsidRPr="00EB0542" w:rsidRDefault="00993E7E"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If adding more buses or cre</w:t>
      </w:r>
      <w:r w:rsidR="00993E7E">
        <w:rPr>
          <w:rFonts w:ascii="Verdana" w:hAnsi="Verdana" w:cs="Times New Roman"/>
        </w:rPr>
        <w:t>ating new routes and</w:t>
      </w:r>
      <w:r w:rsidRPr="00EB0542">
        <w:rPr>
          <w:rFonts w:ascii="Verdana" w:hAnsi="Verdana" w:cs="Times New Roman"/>
        </w:rPr>
        <w:t xml:space="preserve"> ove</w:t>
      </w:r>
      <w:r w:rsidR="0016095E">
        <w:rPr>
          <w:rFonts w:ascii="Verdana" w:hAnsi="Verdana" w:cs="Times New Roman"/>
        </w:rPr>
        <w:t>rhead lines for the trolley is the</w:t>
      </w:r>
      <w:r w:rsidRPr="00EB0542">
        <w:rPr>
          <w:rFonts w:ascii="Verdana" w:hAnsi="Verdana" w:cs="Times New Roman"/>
        </w:rPr>
        <w:t xml:space="preserve"> method of mitigating the clearly foreseeable impact,--- as suggested by the Respondents’ witnesses --- </w:t>
      </w:r>
      <w:r w:rsidR="00993E7E">
        <w:rPr>
          <w:rFonts w:ascii="Verdana" w:hAnsi="Verdana" w:cs="Times New Roman"/>
        </w:rPr>
        <w:t xml:space="preserve"> this cannot</w:t>
      </w:r>
      <w:r>
        <w:rPr>
          <w:rFonts w:ascii="Verdana" w:hAnsi="Verdana" w:cs="Times New Roman"/>
        </w:rPr>
        <w:t xml:space="preserve"> happen with a finger snap.</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Pr="00EB0542" w:rsidRDefault="00EB0542" w:rsidP="00EB0542">
      <w:pPr>
        <w:contextualSpacing/>
        <w:rPr>
          <w:rFonts w:ascii="Verdana" w:hAnsi="Verdana" w:cs="Times New Roman"/>
        </w:rPr>
      </w:pPr>
      <w:r w:rsidRPr="00EB0542">
        <w:rPr>
          <w:rFonts w:ascii="Verdana" w:hAnsi="Verdana" w:cs="Times New Roman"/>
        </w:rPr>
        <w:t>SMC 25.05.675 O 2. states:</w:t>
      </w:r>
    </w:p>
    <w:p w:rsidR="00EB0542" w:rsidRPr="00EB0542" w:rsidRDefault="00EB0542" w:rsidP="00EB0542">
      <w:pPr>
        <w:contextualSpacing/>
        <w:rPr>
          <w:rFonts w:ascii="Verdana" w:hAnsi="Verdana" w:cs="Times New Roman"/>
          <w:i/>
        </w:rPr>
      </w:pPr>
      <w:r w:rsidRPr="00EB0542">
        <w:rPr>
          <w:rFonts w:ascii="Verdana" w:hAnsi="Verdana" w:cs="Times New Roman"/>
        </w:rPr>
        <w:t xml:space="preserve">     </w:t>
      </w:r>
      <w:r w:rsidRPr="00EB0542">
        <w:rPr>
          <w:rFonts w:ascii="Verdana" w:hAnsi="Verdana" w:cs="Times New Roman"/>
          <w:i/>
        </w:rPr>
        <w:t xml:space="preserve">a.      It is the City’s policy to minimize or prevent adverse impacts to existing public services and facilities.  </w:t>
      </w:r>
    </w:p>
    <w:p w:rsidR="00EB0542" w:rsidRPr="00EB0542" w:rsidRDefault="00EB0542" w:rsidP="00EB0542">
      <w:pPr>
        <w:contextualSpacing/>
        <w:rPr>
          <w:rFonts w:ascii="Verdana" w:hAnsi="Verdana" w:cs="Times New Roman"/>
          <w:i/>
        </w:rPr>
      </w:pPr>
      <w:r w:rsidRPr="00EB0542">
        <w:rPr>
          <w:rFonts w:ascii="Verdana" w:hAnsi="Verdana" w:cs="Times New Roman"/>
          <w:i/>
        </w:rPr>
        <w:t xml:space="preserve">    b.     The decision maker may require, as part of the environmental review of a project, a reasonable assessment of the present and planned condition and capacity of public services and facilities to serve the area affected by the proposal.</w:t>
      </w:r>
    </w:p>
    <w:p w:rsidR="00EB0542" w:rsidRDefault="00EB0542" w:rsidP="00EB0542">
      <w:pPr>
        <w:contextualSpacing/>
        <w:rPr>
          <w:rFonts w:ascii="Verdana" w:hAnsi="Verdana" w:cs="Times New Roman"/>
          <w:i/>
        </w:rPr>
      </w:pPr>
      <w:r w:rsidRPr="00EB0542">
        <w:rPr>
          <w:rFonts w:ascii="Verdana" w:hAnsi="Verdana" w:cs="Times New Roman"/>
          <w:i/>
        </w:rPr>
        <w:t xml:space="preserve">    c.      Based on such analyses, a project which would result in adverse impacts on existing public services and facilities may be conditioned or denied to lessen its demand for services and facilities, or required to improve or add services and/or facilities for the public, whether or not the project meets the criteria of the Overview Policy set forth in SMC 25.05.065</w:t>
      </w:r>
    </w:p>
    <w:p w:rsidR="00EB0542" w:rsidRPr="00EB0542" w:rsidRDefault="00EB0542" w:rsidP="00EB0542">
      <w:pPr>
        <w:contextualSpacing/>
        <w:rPr>
          <w:rFonts w:ascii="Verdana" w:hAnsi="Verdana" w:cs="Times New Roman"/>
          <w:i/>
        </w:rPr>
      </w:pPr>
    </w:p>
    <w:p w:rsidR="00EB0542" w:rsidRDefault="00EB0542" w:rsidP="00EB0542">
      <w:pPr>
        <w:contextualSpacing/>
        <w:rPr>
          <w:rFonts w:ascii="Verdana" w:hAnsi="Verdana" w:cs="Times New Roman"/>
        </w:rPr>
      </w:pPr>
      <w:r w:rsidRPr="00EB0542">
        <w:rPr>
          <w:rFonts w:ascii="Verdana" w:hAnsi="Verdana" w:cs="Times New Roman"/>
        </w:rPr>
        <w:t>SMC 25.05.670 states that an EIS shall include a reasonable assessment of the present and planned capacity of such public facilities as streets, and pubic services.</w:t>
      </w:r>
    </w:p>
    <w:p w:rsidR="0016095E" w:rsidRDefault="0016095E" w:rsidP="00EB0542">
      <w:pPr>
        <w:contextualSpacing/>
        <w:rPr>
          <w:rFonts w:ascii="Verdana" w:hAnsi="Verdana" w:cs="Times New Roman"/>
        </w:rPr>
      </w:pPr>
    </w:p>
    <w:p w:rsidR="0016095E" w:rsidRDefault="0016095E" w:rsidP="0016095E">
      <w:pPr>
        <w:contextualSpacing/>
        <w:rPr>
          <w:rFonts w:ascii="Verdana" w:hAnsi="Verdana" w:cs="Times New Roman"/>
        </w:rPr>
      </w:pPr>
      <w:r w:rsidRPr="00EB0542">
        <w:rPr>
          <w:rFonts w:ascii="Verdana" w:hAnsi="Verdana" w:cs="Times New Roman"/>
        </w:rPr>
        <w:t>SMC 25.05.440 E. 5. states that, in an EIS, “(d)iscussion of significant impacts shall include the cost of and effects on public services … .”</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This is an important substantive impact which the City has the authority and the responsibility to consider before approving the proposed MIMP.  The EIS does not include an adequate discussion and analysis which would help inform the City Council in its decision making.  Is it possible to increase service on a bus route that is already among the most frequent in the Metro system?  Is it possible to create an alternative route that avoids the heavily congested streets and intersections?  If that is the case, will it be necessary to erect t</w:t>
      </w:r>
      <w:r>
        <w:rPr>
          <w:rFonts w:ascii="Verdana" w:hAnsi="Verdana" w:cs="Times New Roman"/>
        </w:rPr>
        <w:t>rolley wires on another street?</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Default="00EB0542" w:rsidP="00EB0542">
      <w:pPr>
        <w:contextualSpacing/>
        <w:rPr>
          <w:rFonts w:ascii="Verdana" w:hAnsi="Verdana" w:cs="Times New Roman"/>
        </w:rPr>
      </w:pPr>
      <w:r w:rsidRPr="00EB0542">
        <w:rPr>
          <w:rFonts w:ascii="Verdana" w:hAnsi="Verdana" w:cs="Times New Roman"/>
        </w:rPr>
        <w:t>The City’s current strategy for managing the transportation includes, most notably, encouraging major job centers to be located in areas where there is robust transit service --- light rail stations and frequent, reliable bus service from many directions.  Providence-Swedish proposes a different approach. It proposes to grow in a residential neighborhood.  In order to avoid unacceptable traffic and congestion to which there will be an outsize contribution by Swedish Cherry Hill and Sabey, the public (the City and Metro) would be required to devote unplanned resources to transit services and right-of-way modification in a residential area where more modest growth is planned.</w:t>
      </w:r>
    </w:p>
    <w:p w:rsidR="00EB0542" w:rsidRP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r w:rsidRPr="00EB0542">
        <w:rPr>
          <w:rFonts w:ascii="Verdana" w:hAnsi="Verdana" w:cs="Times New Roman"/>
        </w:rPr>
        <w:t>The hearing testimony of Ross Tilghman that the EIS is inadequate in this regard was actually confirmed by the testimony of the witnesses for the institution who could point to nothing in the EIS and whose response is to hope for some new bus service, on a new route with uncongested streets, and a way to pay for it.</w:t>
      </w:r>
    </w:p>
    <w:p w:rsidR="00EB0542" w:rsidRDefault="00EB0542" w:rsidP="00EB0542">
      <w:pPr>
        <w:contextualSpacing/>
        <w:rPr>
          <w:rFonts w:ascii="Verdana" w:hAnsi="Verdana" w:cs="Times New Roman"/>
        </w:rPr>
      </w:pPr>
      <w:r w:rsidRPr="00EB0542">
        <w:rPr>
          <w:rFonts w:ascii="Verdana" w:hAnsi="Verdana" w:cs="Times New Roman"/>
        </w:rPr>
        <w:t>If the City Council is to be asked to approve a MIMP that will significantly increase the demand on an already stressed Metro system, it is entitled to an impartial and reasonably detailed discussion of how that impact will be mitigated</w:t>
      </w:r>
      <w:r w:rsidR="0016095E">
        <w:rPr>
          <w:rFonts w:ascii="Verdana" w:hAnsi="Verdana" w:cs="Times New Roman"/>
        </w:rPr>
        <w:t>.</w:t>
      </w:r>
    </w:p>
    <w:p w:rsidR="0016095E" w:rsidRPr="00EB0542" w:rsidRDefault="0016095E"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Response Brief takes issue with Squire Park’s pointing out that the listing of so-called “pipeline” projects is an example of the inadequacy of the EIS.  The Respondent’s argument is that there is no evidence of when those pipeline projects were noted by DPD.  To the contrary, the witness Ken Torp testified that all of the projects he enumerated were applications dated in December, or earlier, the month the EIS was published.</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Of course it is true that in a growing neighborhood in a growing city no EIS could ever list all of the relevant pipeline projects.  However, the pipeline projects listed by Mr. Torp, all within the same area that the drafter of the EIS considered relevant as evidenced by those projects which are listed in the EIS (EIS p. 3.7-21) constitute, according to his testimony, an additional 1994 residential units and an additional 1489 spaces in buildings mostly 6 to 8 stories, but with a range of 30 stories to 4 stories.</w:t>
      </w:r>
      <w:r w:rsidR="0016095E">
        <w:rPr>
          <w:rFonts w:ascii="Verdana" w:hAnsi="Verdana" w:cs="Times New Roman"/>
        </w:rPr>
        <w:t xml:space="preserve">  The list of omitted pipeline projects is longer than the list of those included.</w:t>
      </w:r>
    </w:p>
    <w:p w:rsidR="00EB0542" w:rsidRP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r w:rsidRPr="00EB0542">
        <w:rPr>
          <w:rFonts w:ascii="Verdana" w:hAnsi="Verdana" w:cs="Times New Roman"/>
        </w:rPr>
        <w:t>The Joint Response Brief would reject the significance of this by stating that the Department’s witness John Shaw “testified that no analysis was provided by the Appellants demonstrating whether what is proposed to be built exceeds trip generation for what is proposed to be demolished and, therefore, it is unknown whether any net increase in trips may, in fact, occur,” Response Brief p. 24.</w:t>
      </w:r>
    </w:p>
    <w:p w:rsidR="00EB0542" w:rsidRDefault="00EB0542" w:rsidP="00EB0542">
      <w:pPr>
        <w:contextualSpacing/>
        <w:rPr>
          <w:rFonts w:ascii="Verdana" w:hAnsi="Verdana" w:cs="Times New Roman"/>
        </w:rPr>
      </w:pPr>
      <w:r w:rsidRPr="00EB0542">
        <w:rPr>
          <w:rFonts w:ascii="Verdana" w:hAnsi="Verdana" w:cs="Times New Roman"/>
        </w:rPr>
        <w:t>Isn’t that the job of the EIS --- to present a reasonable analysis of future traffic impacts?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 xml:space="preserve">In order for an EIS to be adequate it must present decision makers with a “reasonably thorough discussion of the significant aspects of the probable environmental consequences” of the agency’s decision,  </w:t>
      </w:r>
      <w:r w:rsidRPr="00EB0542">
        <w:rPr>
          <w:rFonts w:ascii="Verdana" w:hAnsi="Verdana" w:cs="Times New Roman"/>
          <w:i/>
        </w:rPr>
        <w:t>Citizens Alliance v. Auburn</w:t>
      </w:r>
      <w:r w:rsidRPr="00EB0542">
        <w:rPr>
          <w:rFonts w:ascii="Verdana" w:hAnsi="Verdana" w:cs="Times New Roman"/>
        </w:rPr>
        <w:t xml:space="preserve">, 126 Wn.2d 356, quoting </w:t>
      </w:r>
      <w:r w:rsidRPr="00EB0542">
        <w:rPr>
          <w:rFonts w:ascii="Verdana" w:hAnsi="Verdana" w:cs="Times New Roman"/>
          <w:i/>
        </w:rPr>
        <w:t>Cheney v. Mountlake Terrace</w:t>
      </w:r>
      <w:r w:rsidRPr="00EB0542">
        <w:rPr>
          <w:rFonts w:ascii="Verdana" w:hAnsi="Verdana" w:cs="Times New Roman"/>
        </w:rPr>
        <w:t xml:space="preserve"> 87 Wn. 2d at 344.  The “rule of reason” is to be guided by “all of the policy and factual considerations reasonable related to SEPA’s terse directives,” </w:t>
      </w:r>
      <w:r w:rsidRPr="00EB0542">
        <w:rPr>
          <w:rFonts w:ascii="Verdana" w:hAnsi="Verdana" w:cs="Times New Roman"/>
          <w:i/>
        </w:rPr>
        <w:t>Citizens Alliance,</w:t>
      </w:r>
      <w:r w:rsidRPr="00EB0542">
        <w:rPr>
          <w:rFonts w:ascii="Verdana" w:hAnsi="Verdana" w:cs="Times New Roman"/>
        </w:rPr>
        <w:t xml:space="preserve"> quoting R. Settle, </w:t>
      </w:r>
      <w:r w:rsidRPr="00EB0542">
        <w:rPr>
          <w:rFonts w:ascii="Verdana" w:hAnsi="Verdana" w:cs="Times New Roman"/>
          <w:u w:val="single"/>
        </w:rPr>
        <w:t xml:space="preserve">The Washington State Environmental Policy Act: A Legal and Policy Analysis </w:t>
      </w:r>
      <w:r w:rsidRPr="00EB0542">
        <w:rPr>
          <w:rFonts w:ascii="Verdana" w:hAnsi="Verdana" w:cs="Times New Roman"/>
        </w:rPr>
        <w:t xml:space="preserve">sec. 14(a)(i). </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Pr="00EB0542" w:rsidRDefault="00EB0542" w:rsidP="00EB0542">
      <w:pPr>
        <w:contextualSpacing/>
        <w:rPr>
          <w:rFonts w:ascii="Verdana" w:hAnsi="Verdana" w:cs="Times New Roman"/>
        </w:rPr>
      </w:pPr>
      <w:r w:rsidRPr="00EB0542">
        <w:rPr>
          <w:rFonts w:ascii="Verdana" w:hAnsi="Verdana" w:cs="Times New Roman"/>
        </w:rPr>
        <w:t>Squire Park asserts that the policy and factual considerations in this matter compel a conclusion that the City Council would want to know with a greater degree of analysis what might be the impact on public transit and public rights of way.</w:t>
      </w:r>
    </w:p>
    <w:p w:rsidR="00EB0542" w:rsidRDefault="00EB0542" w:rsidP="00EB0542">
      <w:pPr>
        <w:contextualSpacing/>
        <w:rPr>
          <w:rFonts w:ascii="Verdana" w:hAnsi="Verdana" w:cs="Times New Roman"/>
        </w:rPr>
      </w:pPr>
      <w:r w:rsidRPr="00EB0542">
        <w:rPr>
          <w:rFonts w:ascii="Verdana" w:hAnsi="Verdana" w:cs="Times New Roman"/>
        </w:rPr>
        <w:t>If a list of large developments in the area is relevant to an analysis of future traffic impacts, as the EIS implies, then having an accurate list is important.  The EIS includes a woefully incomplete list and the Department’s response is that the omitted projects are “scattered over a very wide area” while, in fact, it is the same area as that identified by the EIS as relevant.  This is emblematic of the incomplete and inadequate analysis of traffic impacts by the EIS.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MIMP claims that a large part of its effort to mitigate transportation impacts will be to get many more of its staff out of Single Occupancy Vehicles and into transit.  An adequate EIS would analyze that claim within the context of progressively worsening congestion on the streets used by transit which is supposed to attract visitors to the Cherry Hill campus, whether staff or not.</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Also, an adequate EIS would analyze that claim with the inclusion of an alternative that would not increase vehicle trips to an average of 11,000 per day, with the resulting contribution to greenhouse gas production.</w:t>
      </w:r>
    </w:p>
    <w:p w:rsidR="00EB0542" w:rsidRDefault="00EB0542" w:rsidP="00EB0542">
      <w:pPr>
        <w:contextualSpacing/>
        <w:rPr>
          <w:rFonts w:ascii="Verdana" w:hAnsi="Verdana" w:cs="Times New Roman"/>
        </w:rPr>
      </w:pPr>
    </w:p>
    <w:p w:rsidR="004D2239" w:rsidRDefault="004D2239" w:rsidP="00EB0542">
      <w:pPr>
        <w:contextualSpacing/>
        <w:rPr>
          <w:rFonts w:ascii="Verdana" w:hAnsi="Verdana" w:cs="Times New Roman"/>
        </w:rPr>
      </w:pPr>
      <w:bookmarkStart w:id="0" w:name="_GoBack"/>
      <w:bookmarkEnd w:id="0"/>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b/>
          <w:u w:val="single"/>
        </w:rPr>
      </w:pPr>
      <w:r w:rsidRPr="00EB0542">
        <w:rPr>
          <w:rFonts w:ascii="Verdana" w:hAnsi="Verdana" w:cs="Times New Roman"/>
          <w:b/>
          <w:u w:val="single"/>
        </w:rPr>
        <w:t xml:space="preserve">The EIS analysis of Land Use impacts is inadequate </w:t>
      </w:r>
    </w:p>
    <w:p w:rsidR="004D2239" w:rsidRPr="00EB0542" w:rsidRDefault="004D2239" w:rsidP="00EB0542">
      <w:pPr>
        <w:contextualSpacing/>
        <w:rPr>
          <w:rFonts w:ascii="Verdana" w:hAnsi="Verdana" w:cs="Times New Roman"/>
          <w:b/>
          <w:u w:val="single"/>
        </w:rPr>
      </w:pPr>
    </w:p>
    <w:p w:rsidR="00EB0542" w:rsidRPr="00EB0542" w:rsidRDefault="00EB0542" w:rsidP="00EB0542">
      <w:pPr>
        <w:contextualSpacing/>
        <w:rPr>
          <w:rFonts w:ascii="Verdana" w:hAnsi="Verdana" w:cs="Times New Roman"/>
        </w:rPr>
      </w:pPr>
    </w:p>
    <w:p w:rsidR="004D2239" w:rsidRDefault="00EB0542" w:rsidP="00EB0542">
      <w:pPr>
        <w:contextualSpacing/>
        <w:rPr>
          <w:rFonts w:ascii="Verdana" w:hAnsi="Verdana" w:cs="Times New Roman"/>
        </w:rPr>
      </w:pPr>
      <w:r w:rsidRPr="00EB0542">
        <w:rPr>
          <w:rFonts w:ascii="Verdana" w:hAnsi="Verdana" w:cs="Times New Roman"/>
        </w:rPr>
        <w:t xml:space="preserve">The proposal of Providence-Swedish and Sabey would develop buildings as tall as eleven stories in a residential neighborhood and attract outsize traffic to a residential neighborhood not in an urban village. </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4D2239" w:rsidRDefault="00EB0542" w:rsidP="00EB0542">
      <w:pPr>
        <w:contextualSpacing/>
        <w:rPr>
          <w:rFonts w:ascii="Verdana" w:hAnsi="Verdana" w:cs="Times New Roman"/>
        </w:rPr>
      </w:pPr>
      <w:r w:rsidRPr="00EB0542">
        <w:rPr>
          <w:rFonts w:ascii="Verdana" w:hAnsi="Verdana" w:cs="Times New Roman"/>
        </w:rPr>
        <w:t>Substantive SEPA policies set forth in the Land Use C</w:t>
      </w:r>
      <w:r w:rsidR="004D2239">
        <w:rPr>
          <w:rFonts w:ascii="Verdana" w:hAnsi="Verdana" w:cs="Times New Roman"/>
        </w:rPr>
        <w:t>ode speak directly to principles</w:t>
      </w:r>
      <w:r w:rsidRPr="00EB0542">
        <w:rPr>
          <w:rFonts w:ascii="Verdana" w:hAnsi="Verdana" w:cs="Times New Roman"/>
        </w:rPr>
        <w:t xml:space="preserve"> also expressed in the Comprehensive Plan.  SMC 25.05.670 describes the policies whereby projects such as the Providence-Swedish and Sabey projects should be analyzed.  That is, projects proposed for areas not intended for them.</w:t>
      </w:r>
    </w:p>
    <w:p w:rsidR="004D2239" w:rsidRDefault="004D2239" w:rsidP="00EB0542">
      <w:pPr>
        <w:contextualSpacing/>
        <w:rPr>
          <w:rFonts w:ascii="Verdana" w:hAnsi="Verdana" w:cs="Times New Roman"/>
        </w:rPr>
      </w:pPr>
    </w:p>
    <w:p w:rsidR="004D2239" w:rsidRDefault="00EB0542" w:rsidP="00EB0542">
      <w:pPr>
        <w:contextualSpacing/>
        <w:rPr>
          <w:rFonts w:ascii="Verdana" w:hAnsi="Verdana" w:cs="Times New Roman"/>
        </w:rPr>
      </w:pPr>
      <w:r w:rsidRPr="00EB0542">
        <w:rPr>
          <w:rFonts w:ascii="Verdana" w:hAnsi="Verdana" w:cs="Times New Roman"/>
        </w:rPr>
        <w:t>SMC 25.05.670 requires a reasonable assessment of present and planned capacity of public facilities, public services and the demand on those facilities and services.</w:t>
      </w:r>
    </w:p>
    <w:p w:rsidR="00EB0542" w:rsidRPr="00EB0542" w:rsidRDefault="00EB0542" w:rsidP="00EB0542">
      <w:pPr>
        <w:contextualSpacing/>
        <w:rPr>
          <w:rFonts w:ascii="Verdana" w:hAnsi="Verdana" w:cs="Times New Roman"/>
        </w:rPr>
      </w:pPr>
      <w:r w:rsidRPr="00EB0542">
        <w:rPr>
          <w:rFonts w:ascii="Verdana" w:hAnsi="Verdana" w:cs="Times New Roman"/>
        </w:rPr>
        <w:t xml:space="preserve">  </w:t>
      </w:r>
    </w:p>
    <w:p w:rsidR="00EB0542" w:rsidRDefault="00EB0542" w:rsidP="00EB0542">
      <w:pPr>
        <w:contextualSpacing/>
        <w:rPr>
          <w:rFonts w:ascii="Verdana" w:hAnsi="Verdana" w:cs="Times New Roman"/>
        </w:rPr>
      </w:pPr>
      <w:r w:rsidRPr="00EB0542">
        <w:rPr>
          <w:rFonts w:ascii="Verdana" w:hAnsi="Verdana" w:cs="Times New Roman"/>
        </w:rPr>
        <w:t>SMC 25.05.670. 2. states that “an action or project may be conditioned or denied to lessen or eliminate its cumulative effects on the environment: a. When considered together with prior, simultaneous or induced future development; or b. When, taking into account known future development under established zoning, it is determined that a project will use more than its share of present and planned facilities, services and natural systems.”</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In the Response Brief Resp</w:t>
      </w:r>
      <w:r w:rsidR="004D2239">
        <w:rPr>
          <w:rFonts w:ascii="Verdana" w:hAnsi="Verdana" w:cs="Times New Roman"/>
        </w:rPr>
        <w:t xml:space="preserve">ondents minimize </w:t>
      </w:r>
      <w:r w:rsidRPr="00EB0542">
        <w:rPr>
          <w:rFonts w:ascii="Verdana" w:hAnsi="Verdana" w:cs="Times New Roman"/>
        </w:rPr>
        <w:t>land use impacts because there are no direct land use changes beyond the bord</w:t>
      </w:r>
      <w:r w:rsidR="004D2239">
        <w:rPr>
          <w:rFonts w:ascii="Verdana" w:hAnsi="Verdana" w:cs="Times New Roman"/>
        </w:rPr>
        <w:t>ers of the MIO.  Once again the</w:t>
      </w:r>
      <w:r w:rsidRPr="00EB0542">
        <w:rPr>
          <w:rFonts w:ascii="Verdana" w:hAnsi="Verdana" w:cs="Times New Roman"/>
        </w:rPr>
        <w:t xml:space="preserve"> Respondents</w:t>
      </w:r>
      <w:r w:rsidR="004D2239">
        <w:rPr>
          <w:rFonts w:ascii="Verdana" w:hAnsi="Verdana" w:cs="Times New Roman"/>
        </w:rPr>
        <w:t xml:space="preserve"> has</w:t>
      </w:r>
      <w:r w:rsidRPr="00EB0542">
        <w:rPr>
          <w:rFonts w:ascii="Verdana" w:hAnsi="Verdana" w:cs="Times New Roman"/>
        </w:rPr>
        <w:t xml:space="preserve"> failed to realize the implications of a nonproject proposal.  The land use impacts go beyond the borders of the EIS and, in that respec</w:t>
      </w:r>
      <w:r w:rsidR="004D2239">
        <w:rPr>
          <w:rFonts w:ascii="Verdana" w:hAnsi="Verdana" w:cs="Times New Roman"/>
        </w:rPr>
        <w:t>t, are not confined to shadows</w:t>
      </w:r>
      <w:r w:rsidRPr="00EB0542">
        <w:rPr>
          <w:rFonts w:ascii="Verdana" w:hAnsi="Verdana" w:cs="Times New Roman"/>
        </w:rPr>
        <w:t>.</w:t>
      </w: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rPr>
      </w:pPr>
      <w:r w:rsidRPr="00EB0542">
        <w:rPr>
          <w:rFonts w:ascii="Verdana" w:hAnsi="Verdana" w:cs="Times New Roman"/>
        </w:rPr>
        <w:t>The EIS seems to recognize that there will be some land use impacts beyond MIO borders, EIS 3.3.6 at p. 3.3-74.  However, after a three sentence discussion concludes that the “overall impact is not expected to be significant.”</w:t>
      </w:r>
    </w:p>
    <w:p w:rsidR="004D2239" w:rsidRPr="00EB0542" w:rsidRDefault="004D2239"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r w:rsidRPr="00EB0542">
        <w:rPr>
          <w:rFonts w:ascii="Verdana" w:hAnsi="Verdana" w:cs="Times New Roman"/>
        </w:rPr>
        <w:t>This is a conclusion and not an impartial discussion or analysis.</w:t>
      </w:r>
    </w:p>
    <w:p w:rsidR="00EB0542" w:rsidRDefault="00EB0542" w:rsidP="00EB0542">
      <w:pPr>
        <w:contextualSpacing/>
        <w:rPr>
          <w:rFonts w:ascii="Verdana" w:hAnsi="Verdana" w:cs="Times New Roman"/>
        </w:rPr>
      </w:pPr>
    </w:p>
    <w:p w:rsidR="00EB0542" w:rsidRPr="00EB0542" w:rsidRDefault="00EB0542" w:rsidP="00EB0542">
      <w:pPr>
        <w:contextualSpacing/>
        <w:rPr>
          <w:rFonts w:ascii="Verdana" w:hAnsi="Verdana" w:cs="Times New Roman"/>
        </w:rPr>
      </w:pPr>
    </w:p>
    <w:p w:rsidR="00EB0542" w:rsidRDefault="00EB0542" w:rsidP="00EB0542">
      <w:pPr>
        <w:contextualSpacing/>
        <w:rPr>
          <w:rFonts w:ascii="Verdana" w:hAnsi="Verdana" w:cs="Times New Roman"/>
          <w:b/>
          <w:u w:val="single"/>
        </w:rPr>
      </w:pPr>
      <w:r w:rsidRPr="00EB0542">
        <w:rPr>
          <w:rFonts w:ascii="Verdana" w:hAnsi="Verdana" w:cs="Times New Roman"/>
          <w:b/>
          <w:u w:val="single"/>
        </w:rPr>
        <w:t>Conclusion</w:t>
      </w:r>
    </w:p>
    <w:p w:rsidR="00EB0542" w:rsidRPr="00EB0542" w:rsidRDefault="00EB0542" w:rsidP="00EB0542">
      <w:pPr>
        <w:contextualSpacing/>
        <w:rPr>
          <w:rFonts w:ascii="Verdana" w:hAnsi="Verdana" w:cs="Times New Roman"/>
          <w:b/>
          <w:u w:val="single"/>
        </w:rPr>
      </w:pPr>
    </w:p>
    <w:p w:rsidR="00EB0542" w:rsidRDefault="00EB0542" w:rsidP="00EB0542">
      <w:pPr>
        <w:contextualSpacing/>
        <w:rPr>
          <w:rFonts w:ascii="Verdana" w:hAnsi="Verdana" w:cs="Times New Roman"/>
        </w:rPr>
      </w:pPr>
      <w:r w:rsidRPr="00EB0542">
        <w:rPr>
          <w:rFonts w:ascii="Verdana" w:hAnsi="Verdana" w:cs="Times New Roman"/>
        </w:rPr>
        <w:t>The Environmental Protection Act requires complete, accurate, and unbiased information in order to allow the decision maker to make an inform</w:t>
      </w:r>
      <w:r w:rsidR="004D2239">
        <w:rPr>
          <w:rFonts w:ascii="Verdana" w:hAnsi="Verdana" w:cs="Times New Roman"/>
        </w:rPr>
        <w:t>ed decision.  That is, it requires</w:t>
      </w:r>
      <w:r>
        <w:rPr>
          <w:rFonts w:ascii="Verdana" w:hAnsi="Verdana" w:cs="Times New Roman"/>
        </w:rPr>
        <w:t xml:space="preserve"> </w:t>
      </w:r>
      <w:r w:rsidRPr="00EB0542">
        <w:rPr>
          <w:rFonts w:ascii="Verdana" w:hAnsi="Verdana" w:cs="Times New Roman"/>
        </w:rPr>
        <w:t>more than a rationalization for the chosen course of action of the proponent.</w:t>
      </w:r>
      <w:r>
        <w:rPr>
          <w:rFonts w:ascii="Verdana" w:hAnsi="Verdana" w:cs="Times New Roman"/>
        </w:rPr>
        <w:t xml:space="preserve">  Most importantly, the EIS must contain a discussion and analysis of reasonable alternatives --- alternatives that are not confined to those suggested by the applicant and alternatives that include a consideration of sites other than those chosen by Providence-Swedish and the Sabey Corporation.</w:t>
      </w:r>
    </w:p>
    <w:p w:rsidR="00EB0542" w:rsidRDefault="00EB0542" w:rsidP="00EB0542">
      <w:pPr>
        <w:contextualSpacing/>
        <w:rPr>
          <w:rFonts w:ascii="Verdana" w:hAnsi="Verdana" w:cs="Times New Roman"/>
        </w:rPr>
      </w:pPr>
    </w:p>
    <w:p w:rsidR="00EB0542" w:rsidRDefault="004D2239" w:rsidP="00EB0542">
      <w:pPr>
        <w:contextualSpacing/>
        <w:rPr>
          <w:rFonts w:ascii="Verdana" w:hAnsi="Verdana" w:cs="Times New Roman"/>
        </w:rPr>
      </w:pPr>
      <w:r>
        <w:rPr>
          <w:rFonts w:ascii="Verdana" w:hAnsi="Verdana" w:cs="Times New Roman"/>
        </w:rPr>
        <w:t>The</w:t>
      </w:r>
      <w:r w:rsidR="00EB0542">
        <w:rPr>
          <w:rFonts w:ascii="Verdana" w:hAnsi="Verdana" w:cs="Times New Roman"/>
        </w:rPr>
        <w:t xml:space="preserve"> EIS in this </w:t>
      </w:r>
      <w:r>
        <w:rPr>
          <w:rFonts w:ascii="Verdana" w:hAnsi="Verdana" w:cs="Times New Roman"/>
        </w:rPr>
        <w:t xml:space="preserve">case must be held to be </w:t>
      </w:r>
      <w:r w:rsidR="00EB0542">
        <w:rPr>
          <w:rFonts w:ascii="Verdana" w:hAnsi="Verdana" w:cs="Times New Roman"/>
        </w:rPr>
        <w:t>inadequate.</w:t>
      </w:r>
    </w:p>
    <w:p w:rsidR="00EB0542" w:rsidRPr="00EB0542" w:rsidRDefault="00EB0542" w:rsidP="00EB0542">
      <w:pPr>
        <w:contextualSpacing/>
        <w:rPr>
          <w:rFonts w:ascii="Verdana" w:hAnsi="Verdana" w:cs="Times New Roman"/>
        </w:rPr>
      </w:pPr>
    </w:p>
    <w:p w:rsidR="0094735E" w:rsidRDefault="0094735E" w:rsidP="00AC1DC4">
      <w:pPr>
        <w:contextualSpacing/>
        <w:rPr>
          <w:rFonts w:ascii="Verdana" w:hAnsi="Verdana" w:cs="Times New Roman"/>
        </w:rPr>
      </w:pPr>
    </w:p>
    <w:p w:rsidR="0094735E" w:rsidRDefault="0094735E" w:rsidP="00AC1DC4">
      <w:pPr>
        <w:contextualSpacing/>
        <w:rPr>
          <w:rFonts w:ascii="Verdana" w:hAnsi="Verdana" w:cs="Times New Roman"/>
        </w:rPr>
      </w:pPr>
    </w:p>
    <w:p w:rsidR="0094735E" w:rsidRDefault="00EB0542" w:rsidP="00AC1DC4">
      <w:pPr>
        <w:contextualSpacing/>
        <w:rPr>
          <w:rFonts w:ascii="Verdana" w:hAnsi="Verdana" w:cs="Times New Roman"/>
        </w:rPr>
      </w:pPr>
      <w:r>
        <w:rPr>
          <w:rFonts w:ascii="Verdana" w:hAnsi="Verdana" w:cs="Times New Roman"/>
        </w:rPr>
        <w:t>Respectfully Submitted on August 11</w:t>
      </w:r>
      <w:r w:rsidR="0094735E">
        <w:rPr>
          <w:rFonts w:ascii="Verdana" w:hAnsi="Verdana" w:cs="Times New Roman"/>
        </w:rPr>
        <w:t>, 20</w:t>
      </w:r>
      <w:r w:rsidR="004A0C78">
        <w:rPr>
          <w:rFonts w:ascii="Verdana" w:hAnsi="Verdana" w:cs="Times New Roman"/>
        </w:rPr>
        <w:t>1</w:t>
      </w:r>
      <w:r w:rsidR="0094735E">
        <w:rPr>
          <w:rFonts w:ascii="Verdana" w:hAnsi="Verdana" w:cs="Times New Roman"/>
        </w:rPr>
        <w:t>5 by:</w:t>
      </w:r>
    </w:p>
    <w:p w:rsidR="0094735E" w:rsidRDefault="0094735E" w:rsidP="00AC1DC4">
      <w:pPr>
        <w:contextualSpacing/>
        <w:rPr>
          <w:rFonts w:ascii="Verdana" w:hAnsi="Verdana" w:cs="Times New Roman"/>
        </w:rPr>
      </w:pPr>
    </w:p>
    <w:p w:rsidR="0094735E" w:rsidRDefault="0094735E" w:rsidP="00AC1DC4">
      <w:pPr>
        <w:contextualSpacing/>
        <w:rPr>
          <w:rFonts w:ascii="Verdana" w:hAnsi="Verdana" w:cs="Times New Roman"/>
        </w:rPr>
      </w:pPr>
    </w:p>
    <w:p w:rsidR="0094735E" w:rsidRDefault="0094735E" w:rsidP="00AC1DC4">
      <w:pPr>
        <w:contextualSpacing/>
        <w:rPr>
          <w:rFonts w:ascii="Verdana" w:hAnsi="Verdana" w:cs="Times New Roman"/>
        </w:rPr>
      </w:pPr>
    </w:p>
    <w:p w:rsidR="0094735E" w:rsidRDefault="0094735E" w:rsidP="00AC1DC4">
      <w:pPr>
        <w:contextualSpacing/>
        <w:rPr>
          <w:rFonts w:ascii="Verdana" w:hAnsi="Verdana" w:cs="Times New Roman"/>
        </w:rPr>
      </w:pPr>
      <w:r>
        <w:rPr>
          <w:rFonts w:ascii="Verdana" w:hAnsi="Verdana" w:cs="Times New Roman"/>
        </w:rPr>
        <w:t>_________________________</w:t>
      </w:r>
    </w:p>
    <w:p w:rsidR="0094735E" w:rsidRDefault="0094735E" w:rsidP="00AC1DC4">
      <w:pPr>
        <w:contextualSpacing/>
        <w:rPr>
          <w:rFonts w:ascii="Verdana" w:hAnsi="Verdana" w:cs="Times New Roman"/>
        </w:rPr>
      </w:pPr>
      <w:r>
        <w:rPr>
          <w:rFonts w:ascii="Verdana" w:hAnsi="Verdana" w:cs="Times New Roman"/>
        </w:rPr>
        <w:t xml:space="preserve">Bill Zosel </w:t>
      </w:r>
    </w:p>
    <w:p w:rsidR="00A624DE" w:rsidRPr="00E4412C" w:rsidRDefault="0094735E" w:rsidP="00AC1DC4">
      <w:pPr>
        <w:contextualSpacing/>
        <w:rPr>
          <w:rFonts w:ascii="Verdana" w:hAnsi="Verdana" w:cs="Times New Roman"/>
        </w:rPr>
      </w:pPr>
      <w:r>
        <w:rPr>
          <w:rFonts w:ascii="Verdana" w:hAnsi="Verdana" w:cs="Times New Roman"/>
        </w:rPr>
        <w:t>for Appellant Squire Park Community Council</w:t>
      </w:r>
    </w:p>
    <w:sectPr w:rsidR="00A624DE" w:rsidRPr="00E4412C" w:rsidSect="001F77FA">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EA2" w:rsidRDefault="00370EA2" w:rsidP="00147D08">
      <w:pPr>
        <w:spacing w:after="0" w:line="240" w:lineRule="auto"/>
      </w:pPr>
      <w:r>
        <w:separator/>
      </w:r>
    </w:p>
  </w:endnote>
  <w:endnote w:type="continuationSeparator" w:id="0">
    <w:p w:rsidR="00370EA2" w:rsidRDefault="00370EA2" w:rsidP="00147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36" w:rsidRDefault="00902E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3372162"/>
      <w:docPartObj>
        <w:docPartGallery w:val="Page Numbers (Bottom of Page)"/>
        <w:docPartUnique/>
      </w:docPartObj>
    </w:sdtPr>
    <w:sdtEndPr>
      <w:rPr>
        <w:noProof/>
      </w:rPr>
    </w:sdtEndPr>
    <w:sdtContent>
      <w:p w:rsidR="000D7EDC" w:rsidRDefault="000D7EDC">
        <w:pPr>
          <w:pStyle w:val="Footer"/>
          <w:jc w:val="right"/>
        </w:pPr>
        <w:r>
          <w:fldChar w:fldCharType="begin"/>
        </w:r>
        <w:r>
          <w:instrText xml:space="preserve"> PAGE   \* MERGEFORMAT </w:instrText>
        </w:r>
        <w:r>
          <w:fldChar w:fldCharType="separate"/>
        </w:r>
        <w:r w:rsidR="00370EA2">
          <w:rPr>
            <w:noProof/>
          </w:rPr>
          <w:t>1</w:t>
        </w:r>
        <w:r>
          <w:rPr>
            <w:noProof/>
          </w:rPr>
          <w:fldChar w:fldCharType="end"/>
        </w:r>
      </w:p>
    </w:sdtContent>
  </w:sdt>
  <w:p w:rsidR="00147D08" w:rsidRDefault="00147D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36" w:rsidRDefault="00902E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EA2" w:rsidRDefault="00370EA2" w:rsidP="00147D08">
      <w:pPr>
        <w:spacing w:after="0" w:line="240" w:lineRule="auto"/>
      </w:pPr>
      <w:r>
        <w:separator/>
      </w:r>
    </w:p>
  </w:footnote>
  <w:footnote w:type="continuationSeparator" w:id="0">
    <w:p w:rsidR="00370EA2" w:rsidRDefault="00370EA2" w:rsidP="00147D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36" w:rsidRDefault="00902E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36" w:rsidRDefault="00902E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36" w:rsidRDefault="00902E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24A"/>
    <w:rsid w:val="000125AB"/>
    <w:rsid w:val="0003417D"/>
    <w:rsid w:val="00034792"/>
    <w:rsid w:val="00096ED6"/>
    <w:rsid w:val="000D172F"/>
    <w:rsid w:val="000D7EDC"/>
    <w:rsid w:val="000F3B76"/>
    <w:rsid w:val="00122EBF"/>
    <w:rsid w:val="00147D08"/>
    <w:rsid w:val="0016095E"/>
    <w:rsid w:val="001A44C6"/>
    <w:rsid w:val="001B621F"/>
    <w:rsid w:val="001C0BD0"/>
    <w:rsid w:val="001C558A"/>
    <w:rsid w:val="001D1ACB"/>
    <w:rsid w:val="001D7DF3"/>
    <w:rsid w:val="001F77FA"/>
    <w:rsid w:val="002172A4"/>
    <w:rsid w:val="0025366D"/>
    <w:rsid w:val="0028727D"/>
    <w:rsid w:val="002B6903"/>
    <w:rsid w:val="00370EA2"/>
    <w:rsid w:val="00377479"/>
    <w:rsid w:val="003C1906"/>
    <w:rsid w:val="003D077A"/>
    <w:rsid w:val="004071C6"/>
    <w:rsid w:val="004226B7"/>
    <w:rsid w:val="00462A79"/>
    <w:rsid w:val="004A0C78"/>
    <w:rsid w:val="004C642B"/>
    <w:rsid w:val="004D2239"/>
    <w:rsid w:val="004F724A"/>
    <w:rsid w:val="00547EE9"/>
    <w:rsid w:val="005C13CF"/>
    <w:rsid w:val="00600F18"/>
    <w:rsid w:val="00636669"/>
    <w:rsid w:val="0069290A"/>
    <w:rsid w:val="0073283C"/>
    <w:rsid w:val="00732CF9"/>
    <w:rsid w:val="00747F5C"/>
    <w:rsid w:val="00751B22"/>
    <w:rsid w:val="007537B6"/>
    <w:rsid w:val="007E48FF"/>
    <w:rsid w:val="00800E0E"/>
    <w:rsid w:val="0081780C"/>
    <w:rsid w:val="008245FE"/>
    <w:rsid w:val="008B2BAB"/>
    <w:rsid w:val="008D34BE"/>
    <w:rsid w:val="00902E36"/>
    <w:rsid w:val="0094735E"/>
    <w:rsid w:val="009525BD"/>
    <w:rsid w:val="00957F6F"/>
    <w:rsid w:val="009714C0"/>
    <w:rsid w:val="00982B24"/>
    <w:rsid w:val="00984674"/>
    <w:rsid w:val="00993004"/>
    <w:rsid w:val="00993380"/>
    <w:rsid w:val="00993E7E"/>
    <w:rsid w:val="009A0070"/>
    <w:rsid w:val="009D03EE"/>
    <w:rsid w:val="009D12AC"/>
    <w:rsid w:val="009E54F4"/>
    <w:rsid w:val="00A624DE"/>
    <w:rsid w:val="00A7530B"/>
    <w:rsid w:val="00A951B5"/>
    <w:rsid w:val="00AB196A"/>
    <w:rsid w:val="00AB55CD"/>
    <w:rsid w:val="00AC1DC4"/>
    <w:rsid w:val="00AD501F"/>
    <w:rsid w:val="00B15ADD"/>
    <w:rsid w:val="00B2613C"/>
    <w:rsid w:val="00B50152"/>
    <w:rsid w:val="00B65988"/>
    <w:rsid w:val="00B94EEC"/>
    <w:rsid w:val="00BE1E56"/>
    <w:rsid w:val="00BE5F3A"/>
    <w:rsid w:val="00C014F2"/>
    <w:rsid w:val="00CC7491"/>
    <w:rsid w:val="00CE09AE"/>
    <w:rsid w:val="00CF0473"/>
    <w:rsid w:val="00D575B7"/>
    <w:rsid w:val="00D85994"/>
    <w:rsid w:val="00DB31CA"/>
    <w:rsid w:val="00DB6FFE"/>
    <w:rsid w:val="00DC7FBF"/>
    <w:rsid w:val="00DF2219"/>
    <w:rsid w:val="00DF4A2B"/>
    <w:rsid w:val="00E32079"/>
    <w:rsid w:val="00E406DF"/>
    <w:rsid w:val="00E4412C"/>
    <w:rsid w:val="00E50332"/>
    <w:rsid w:val="00E54C5E"/>
    <w:rsid w:val="00EA52C7"/>
    <w:rsid w:val="00EA662C"/>
    <w:rsid w:val="00EB0542"/>
    <w:rsid w:val="00EE279D"/>
    <w:rsid w:val="00F54589"/>
    <w:rsid w:val="00F75A2C"/>
    <w:rsid w:val="00FB1AE1"/>
    <w:rsid w:val="00FF5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724A"/>
    <w:rPr>
      <w:color w:val="0563C1" w:themeColor="hyperlink"/>
      <w:u w:val="single"/>
    </w:rPr>
  </w:style>
  <w:style w:type="paragraph" w:styleId="Header">
    <w:name w:val="header"/>
    <w:basedOn w:val="Normal"/>
    <w:link w:val="HeaderChar"/>
    <w:uiPriority w:val="99"/>
    <w:unhideWhenUsed/>
    <w:rsid w:val="00147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D08"/>
  </w:style>
  <w:style w:type="paragraph" w:styleId="Footer">
    <w:name w:val="footer"/>
    <w:basedOn w:val="Normal"/>
    <w:link w:val="FooterChar"/>
    <w:uiPriority w:val="99"/>
    <w:unhideWhenUsed/>
    <w:rsid w:val="00147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D08"/>
  </w:style>
  <w:style w:type="paragraph" w:styleId="BalloonText">
    <w:name w:val="Balloon Text"/>
    <w:basedOn w:val="Normal"/>
    <w:link w:val="BalloonTextChar"/>
    <w:uiPriority w:val="99"/>
    <w:semiHidden/>
    <w:unhideWhenUsed/>
    <w:rsid w:val="00E441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1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3992</Words>
  <Characters>22760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2015-08-11T22:18:00Z</dcterms:created>
  <dcterms:modified xsi:type="dcterms:W3CDTF">2015-08-11T22:18:00Z</dcterms:modified>
</cp:coreProperties>
</file>